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E3022" w14:textId="77777777" w:rsidR="00401986" w:rsidRDefault="00401986">
      <w:pPr>
        <w:widowControl w:val="0"/>
        <w:spacing w:line="360" w:lineRule="auto"/>
        <w:jc w:val="center"/>
        <w:rPr>
          <w:sz w:val="21"/>
          <w:szCs w:val="21"/>
        </w:rPr>
      </w:pPr>
    </w:p>
    <w:p w14:paraId="2719650A" w14:textId="77777777" w:rsidR="00401986" w:rsidRDefault="00B137D7">
      <w:pPr>
        <w:widowControl w:val="0"/>
        <w:spacing w:line="360" w:lineRule="auto"/>
        <w:rPr>
          <w:rFonts w:eastAsia="Times New Roman"/>
          <w:sz w:val="44"/>
          <w:szCs w:val="44"/>
        </w:rPr>
      </w:pPr>
      <w:r>
        <w:rPr>
          <w:rFonts w:eastAsia="Times New Roman"/>
          <w:noProof/>
          <w:sz w:val="44"/>
          <w:szCs w:val="44"/>
        </w:rPr>
        <w:drawing>
          <wp:inline distT="0" distB="0" distL="0" distR="0" wp14:anchorId="1A5FEE86" wp14:editId="6D4E4891">
            <wp:extent cx="3078480" cy="388620"/>
            <wp:effectExtent l="0" t="0" r="0" b="0"/>
            <wp:docPr id="1" name="图片 1" descr="信纸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纸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078480" cy="388620"/>
                    </a:xfrm>
                    <a:prstGeom prst="rect">
                      <a:avLst/>
                    </a:prstGeom>
                    <a:noFill/>
                    <a:ln>
                      <a:noFill/>
                    </a:ln>
                  </pic:spPr>
                </pic:pic>
              </a:graphicData>
            </a:graphic>
          </wp:inline>
        </w:drawing>
      </w:r>
    </w:p>
    <w:p w14:paraId="1445FE90" w14:textId="77777777" w:rsidR="00401986" w:rsidRDefault="00401986">
      <w:pPr>
        <w:widowControl w:val="0"/>
        <w:jc w:val="center"/>
        <w:rPr>
          <w:rFonts w:eastAsia="Times New Roman"/>
          <w:sz w:val="21"/>
          <w:szCs w:val="21"/>
        </w:rPr>
      </w:pPr>
    </w:p>
    <w:p w14:paraId="5C438A31" w14:textId="77777777" w:rsidR="00401986" w:rsidRDefault="00401986">
      <w:pPr>
        <w:widowControl w:val="0"/>
        <w:jc w:val="center"/>
        <w:rPr>
          <w:rFonts w:eastAsia="Times New Roman"/>
          <w:sz w:val="21"/>
          <w:szCs w:val="21"/>
        </w:rPr>
      </w:pPr>
    </w:p>
    <w:p w14:paraId="26195644" w14:textId="77777777" w:rsidR="00401986" w:rsidRDefault="00401986">
      <w:pPr>
        <w:widowControl w:val="0"/>
        <w:spacing w:before="156" w:after="156"/>
        <w:jc w:val="both"/>
        <w:rPr>
          <w:rFonts w:eastAsia="Times New Roman"/>
          <w:sz w:val="52"/>
          <w:szCs w:val="52"/>
        </w:rPr>
      </w:pPr>
    </w:p>
    <w:p w14:paraId="350F27B9" w14:textId="77777777" w:rsidR="00401986" w:rsidRDefault="00B137D7">
      <w:pPr>
        <w:widowControl w:val="0"/>
        <w:spacing w:before="156" w:after="156"/>
        <w:jc w:val="both"/>
        <w:rPr>
          <w:rFonts w:eastAsia="Times New Roman"/>
          <w:sz w:val="52"/>
          <w:szCs w:val="52"/>
        </w:rPr>
      </w:pPr>
      <w:r>
        <w:rPr>
          <w:rFonts w:eastAsia="Times New Roman"/>
          <w:sz w:val="52"/>
          <w:szCs w:val="52"/>
        </w:rPr>
        <w:t> </w:t>
      </w:r>
    </w:p>
    <w:p w14:paraId="2173C6D1" w14:textId="77777777" w:rsidR="00401986" w:rsidRDefault="00B137D7">
      <w:pPr>
        <w:widowControl w:val="0"/>
        <w:spacing w:before="156" w:after="156"/>
        <w:jc w:val="both"/>
        <w:rPr>
          <w:rFonts w:eastAsia="Times New Roman"/>
          <w:sz w:val="52"/>
          <w:szCs w:val="52"/>
        </w:rPr>
      </w:pPr>
      <w:r>
        <w:rPr>
          <w:rFonts w:eastAsia="Times New Roman"/>
          <w:sz w:val="52"/>
          <w:szCs w:val="52"/>
        </w:rPr>
        <w:t> </w:t>
      </w:r>
    </w:p>
    <w:p w14:paraId="719EF4E6" w14:textId="5314FE2B" w:rsidR="00401986" w:rsidRDefault="00B137D7">
      <w:pPr>
        <w:widowControl w:val="0"/>
        <w:spacing w:before="156" w:after="156" w:line="360" w:lineRule="auto"/>
        <w:jc w:val="center"/>
        <w:rPr>
          <w:rFonts w:ascii="华文行楷" w:eastAsia="华文行楷" w:hAnsi="华文行楷" w:cs="华文行楷"/>
          <w:sz w:val="52"/>
          <w:szCs w:val="52"/>
        </w:rPr>
      </w:pPr>
      <w:r>
        <w:rPr>
          <w:rFonts w:ascii="华文行楷" w:eastAsia="华文行楷" w:hAnsi="华文行楷" w:cs="华文行楷"/>
          <w:sz w:val="52"/>
          <w:szCs w:val="52"/>
        </w:rPr>
        <w:t>鹏华</w:t>
      </w:r>
      <w:r>
        <w:rPr>
          <w:rFonts w:ascii="华文行楷" w:eastAsia="华文行楷" w:hAnsi="华文行楷" w:cs="华文行楷" w:hint="eastAsia"/>
          <w:sz w:val="52"/>
          <w:szCs w:val="52"/>
        </w:rPr>
        <w:t>添鑫90天</w:t>
      </w:r>
      <w:r>
        <w:rPr>
          <w:rFonts w:ascii="华文行楷" w:eastAsia="华文行楷" w:hAnsi="华文行楷" w:cs="华文行楷"/>
          <w:sz w:val="52"/>
          <w:szCs w:val="52"/>
        </w:rPr>
        <w:t>持有</w:t>
      </w:r>
      <w:bookmarkStart w:id="0" w:name="_GoBack"/>
      <w:bookmarkEnd w:id="0"/>
      <w:r>
        <w:rPr>
          <w:rFonts w:ascii="华文行楷" w:eastAsia="华文行楷" w:hAnsi="华文行楷" w:cs="华文行楷"/>
          <w:sz w:val="52"/>
          <w:szCs w:val="52"/>
        </w:rPr>
        <w:t xml:space="preserve">期债券型 </w:t>
      </w:r>
    </w:p>
    <w:p w14:paraId="7A260580" w14:textId="67679CD9" w:rsidR="00401986" w:rsidRDefault="00B137D7">
      <w:pPr>
        <w:widowControl w:val="0"/>
        <w:spacing w:before="156" w:after="156" w:line="360" w:lineRule="auto"/>
        <w:jc w:val="center"/>
        <w:rPr>
          <w:rFonts w:ascii="华文行楷" w:eastAsia="华文行楷" w:hAnsi="华文行楷" w:cs="华文行楷"/>
          <w:sz w:val="52"/>
          <w:szCs w:val="52"/>
        </w:rPr>
      </w:pPr>
      <w:r>
        <w:rPr>
          <w:rFonts w:ascii="华文行楷" w:eastAsia="华文行楷" w:hAnsi="华文行楷" w:cs="华文行楷"/>
          <w:sz w:val="52"/>
          <w:szCs w:val="52"/>
        </w:rPr>
        <w:t xml:space="preserve">证券投资基金 </w:t>
      </w:r>
    </w:p>
    <w:p w14:paraId="1FADF9B6" w14:textId="0CF919E3" w:rsidR="00401986" w:rsidRDefault="00B137D7">
      <w:pPr>
        <w:widowControl w:val="0"/>
        <w:spacing w:before="156" w:after="156" w:line="360" w:lineRule="auto"/>
        <w:jc w:val="center"/>
        <w:rPr>
          <w:rFonts w:ascii="华文行楷" w:eastAsia="华文行楷" w:hAnsi="华文行楷" w:cs="华文行楷"/>
          <w:sz w:val="52"/>
          <w:szCs w:val="52"/>
        </w:rPr>
      </w:pPr>
      <w:r>
        <w:rPr>
          <w:rFonts w:ascii="华文行楷" w:eastAsia="华文行楷" w:hAnsi="华文行楷" w:cs="华文行楷"/>
          <w:sz w:val="52"/>
          <w:szCs w:val="52"/>
        </w:rPr>
        <w:t xml:space="preserve">基金合同 </w:t>
      </w:r>
    </w:p>
    <w:p w14:paraId="7051787B" w14:textId="05163C27" w:rsidR="00401986" w:rsidRDefault="00401986">
      <w:pPr>
        <w:widowControl w:val="0"/>
        <w:spacing w:before="156" w:after="156" w:line="360" w:lineRule="auto"/>
        <w:jc w:val="center"/>
        <w:rPr>
          <w:rFonts w:eastAsia="Times New Roman"/>
          <w:sz w:val="52"/>
          <w:szCs w:val="52"/>
        </w:rPr>
      </w:pPr>
    </w:p>
    <w:p w14:paraId="0087FDD3" w14:textId="77777777" w:rsidR="00401986" w:rsidRDefault="00401986">
      <w:pPr>
        <w:widowControl w:val="0"/>
        <w:spacing w:before="240" w:after="156"/>
        <w:jc w:val="both"/>
        <w:rPr>
          <w:rFonts w:eastAsia="Times New Roman"/>
          <w:sz w:val="52"/>
          <w:szCs w:val="52"/>
        </w:rPr>
      </w:pPr>
    </w:p>
    <w:p w14:paraId="7C2133EE" w14:textId="77777777" w:rsidR="00401986" w:rsidRDefault="00401986">
      <w:pPr>
        <w:widowControl w:val="0"/>
        <w:spacing w:before="156" w:after="156"/>
        <w:jc w:val="both"/>
        <w:rPr>
          <w:rFonts w:eastAsia="Times New Roman"/>
          <w:sz w:val="52"/>
          <w:szCs w:val="52"/>
        </w:rPr>
      </w:pPr>
    </w:p>
    <w:p w14:paraId="20D23F14" w14:textId="77777777" w:rsidR="00401986" w:rsidRDefault="00B137D7">
      <w:pPr>
        <w:widowControl w:val="0"/>
        <w:spacing w:before="156" w:after="156"/>
        <w:jc w:val="both"/>
        <w:rPr>
          <w:rFonts w:eastAsia="Times New Roman"/>
          <w:sz w:val="52"/>
          <w:szCs w:val="52"/>
        </w:rPr>
      </w:pPr>
      <w:r>
        <w:rPr>
          <w:rFonts w:eastAsia="Times New Roman"/>
          <w:sz w:val="52"/>
          <w:szCs w:val="52"/>
        </w:rPr>
        <w:t> </w:t>
      </w:r>
    </w:p>
    <w:p w14:paraId="3CCAACD2" w14:textId="77777777" w:rsidR="00401986" w:rsidRDefault="00B137D7">
      <w:pPr>
        <w:widowControl w:val="0"/>
        <w:spacing w:after="156" w:line="500" w:lineRule="atLeast"/>
        <w:ind w:firstLine="1076"/>
        <w:jc w:val="both"/>
        <w:rPr>
          <w:rFonts w:eastAsia="Times New Roman"/>
        </w:rPr>
      </w:pPr>
      <w:r>
        <w:rPr>
          <w:rFonts w:ascii="华文行楷" w:eastAsia="华文行楷" w:hAnsi="华文行楷" w:cs="华文行楷"/>
          <w:sz w:val="36"/>
          <w:szCs w:val="36"/>
        </w:rPr>
        <w:t>基金管理人：鹏华基金管理有限公司</w:t>
      </w:r>
    </w:p>
    <w:p w14:paraId="4654C3DD" w14:textId="4B62BFE7" w:rsidR="00401986" w:rsidRDefault="00B137D7">
      <w:pPr>
        <w:widowControl w:val="0"/>
        <w:spacing w:after="156" w:line="500" w:lineRule="atLeast"/>
        <w:ind w:firstLine="1080"/>
        <w:jc w:val="both"/>
        <w:rPr>
          <w:rFonts w:eastAsia="Times New Roman"/>
        </w:rPr>
      </w:pPr>
      <w:r>
        <w:rPr>
          <w:rFonts w:ascii="华文行楷" w:eastAsia="华文行楷" w:hAnsi="华文行楷" w:cs="华文行楷"/>
          <w:sz w:val="36"/>
          <w:szCs w:val="36"/>
        </w:rPr>
        <w:t>基金托管人：</w:t>
      </w:r>
      <w:r>
        <w:rPr>
          <w:rFonts w:ascii="华文行楷" w:eastAsia="华文行楷" w:hAnsi="华文行楷" w:cs="华文行楷" w:hint="eastAsia"/>
          <w:sz w:val="36"/>
          <w:szCs w:val="36"/>
        </w:rPr>
        <w:t>中国建设银行股份有限公司</w:t>
      </w:r>
    </w:p>
    <w:p w14:paraId="3CEACB61" w14:textId="77777777" w:rsidR="00401986" w:rsidRDefault="00401986">
      <w:pPr>
        <w:widowControl w:val="0"/>
        <w:spacing w:before="156" w:after="156"/>
        <w:jc w:val="center"/>
        <w:rPr>
          <w:rFonts w:eastAsia="Times New Roman"/>
          <w:sz w:val="52"/>
          <w:szCs w:val="52"/>
        </w:rPr>
      </w:pPr>
    </w:p>
    <w:p w14:paraId="168916C4" w14:textId="5CD81709" w:rsidR="00401986" w:rsidRDefault="00B137D7">
      <w:pPr>
        <w:widowControl w:val="0"/>
        <w:spacing w:line="360" w:lineRule="auto"/>
        <w:jc w:val="center"/>
        <w:rPr>
          <w:rFonts w:eastAsia="Times New Roman"/>
          <w:sz w:val="28"/>
          <w:szCs w:val="28"/>
        </w:rPr>
      </w:pPr>
      <w:r>
        <w:rPr>
          <w:rFonts w:ascii="华文行楷" w:eastAsia="华文行楷" w:hAnsi="华文行楷" w:cs="华文行楷"/>
          <w:sz w:val="36"/>
          <w:szCs w:val="36"/>
        </w:rPr>
        <w:t>二零二</w:t>
      </w:r>
      <w:r w:rsidR="003A7DCE">
        <w:rPr>
          <w:rFonts w:ascii="华文行楷" w:eastAsia="华文行楷" w:hAnsi="华文行楷" w:cs="华文行楷" w:hint="eastAsia"/>
          <w:sz w:val="36"/>
          <w:szCs w:val="36"/>
        </w:rPr>
        <w:t>六</w:t>
      </w:r>
      <w:r>
        <w:rPr>
          <w:rFonts w:ascii="华文行楷" w:eastAsia="华文行楷" w:hAnsi="华文行楷" w:cs="华文行楷"/>
          <w:sz w:val="36"/>
          <w:szCs w:val="36"/>
        </w:rPr>
        <w:t>年</w:t>
      </w:r>
      <w:r w:rsidR="003A7DCE">
        <w:rPr>
          <w:rFonts w:ascii="华文行楷" w:eastAsia="华文行楷" w:hAnsi="华文行楷" w:cs="华文行楷" w:hint="eastAsia"/>
          <w:sz w:val="36"/>
          <w:szCs w:val="36"/>
        </w:rPr>
        <w:t>一</w:t>
      </w:r>
      <w:r>
        <w:rPr>
          <w:rFonts w:ascii="华文行楷" w:eastAsia="华文行楷" w:hAnsi="华文行楷" w:cs="华文行楷"/>
          <w:sz w:val="36"/>
          <w:szCs w:val="36"/>
        </w:rPr>
        <w:t>月</w:t>
      </w:r>
    </w:p>
    <w:p w14:paraId="243B1E78" w14:textId="77777777" w:rsidR="00401986" w:rsidRDefault="00B137D7">
      <w:pPr>
        <w:spacing w:beforeLines="100" w:before="240" w:afterLines="100" w:after="240"/>
        <w:jc w:val="center"/>
        <w:rPr>
          <w:rFonts w:eastAsia="Times New Roman"/>
        </w:rPr>
      </w:pPr>
      <w:bookmarkStart w:id="1" w:name="__top50D236C180FA4E106C317BE5ECB8734E"/>
      <w:r>
        <w:rPr>
          <w:rFonts w:eastAsia="Times New Roman"/>
        </w:rPr>
        <w:lastRenderedPageBreak/>
        <w:br w:type="page"/>
      </w:r>
      <w:r>
        <w:rPr>
          <w:rFonts w:ascii="宋体" w:hAnsi="宋体" w:cs="宋体"/>
          <w:b/>
        </w:rPr>
        <w:lastRenderedPageBreak/>
        <w:t>目   录</w:t>
      </w:r>
    </w:p>
    <w:p w14:paraId="0B0C9D17" w14:textId="3B76FB95" w:rsidR="00401986" w:rsidRDefault="00B137D7">
      <w:pPr>
        <w:pStyle w:val="TOC1"/>
        <w:tabs>
          <w:tab w:val="right" w:leader="dot" w:pos="8296"/>
        </w:tabs>
        <w:rPr>
          <w:rFonts w:ascii="Calibri" w:hAnsi="Calibri"/>
          <w:noProof/>
          <w:sz w:val="22"/>
        </w:rPr>
      </w:pPr>
      <w:r>
        <w:fldChar w:fldCharType="begin"/>
      </w:r>
      <w:r>
        <w:instrText>TOC \o"1-3"\h\z\u</w:instrText>
      </w:r>
      <w:r>
        <w:fldChar w:fldCharType="separate"/>
      </w:r>
      <w:hyperlink w:anchor="_Toc256000000" w:history="1">
        <w:r>
          <w:rPr>
            <w:rStyle w:val="ad"/>
            <w:noProof/>
            <w:kern w:val="36"/>
          </w:rPr>
          <w:t>第一部分 前言</w:t>
        </w:r>
        <w:r>
          <w:rPr>
            <w:noProof/>
          </w:rPr>
          <w:tab/>
        </w:r>
        <w:r>
          <w:rPr>
            <w:noProof/>
          </w:rPr>
          <w:fldChar w:fldCharType="begin"/>
        </w:r>
        <w:r>
          <w:rPr>
            <w:noProof/>
          </w:rPr>
          <w:instrText xml:space="preserve"> PAGEREF _Toc256000000 \h </w:instrText>
        </w:r>
        <w:r>
          <w:rPr>
            <w:noProof/>
          </w:rPr>
        </w:r>
        <w:r>
          <w:rPr>
            <w:noProof/>
          </w:rPr>
          <w:fldChar w:fldCharType="separate"/>
        </w:r>
        <w:r w:rsidR="00486EFE">
          <w:rPr>
            <w:noProof/>
          </w:rPr>
          <w:t>4</w:t>
        </w:r>
        <w:r>
          <w:rPr>
            <w:noProof/>
          </w:rPr>
          <w:fldChar w:fldCharType="end"/>
        </w:r>
      </w:hyperlink>
    </w:p>
    <w:p w14:paraId="7DF3375F" w14:textId="33F04C17" w:rsidR="00401986" w:rsidRDefault="00587757">
      <w:pPr>
        <w:pStyle w:val="TOC1"/>
        <w:tabs>
          <w:tab w:val="right" w:leader="dot" w:pos="8296"/>
        </w:tabs>
        <w:rPr>
          <w:rFonts w:ascii="Calibri" w:hAnsi="Calibri"/>
          <w:noProof/>
          <w:sz w:val="22"/>
        </w:rPr>
      </w:pPr>
      <w:hyperlink w:anchor="_Toc256000001" w:history="1">
        <w:r w:rsidR="00B137D7">
          <w:rPr>
            <w:rStyle w:val="ad"/>
            <w:noProof/>
            <w:kern w:val="36"/>
          </w:rPr>
          <w:t>第二部分 释义</w:t>
        </w:r>
        <w:r w:rsidR="00B137D7">
          <w:rPr>
            <w:noProof/>
          </w:rPr>
          <w:tab/>
        </w:r>
        <w:r w:rsidR="00B137D7">
          <w:rPr>
            <w:noProof/>
          </w:rPr>
          <w:fldChar w:fldCharType="begin"/>
        </w:r>
        <w:r w:rsidR="00B137D7">
          <w:rPr>
            <w:noProof/>
          </w:rPr>
          <w:instrText xml:space="preserve"> PAGEREF _Toc256000001 \h </w:instrText>
        </w:r>
        <w:r w:rsidR="00B137D7">
          <w:rPr>
            <w:noProof/>
          </w:rPr>
        </w:r>
        <w:r w:rsidR="00B137D7">
          <w:rPr>
            <w:noProof/>
          </w:rPr>
          <w:fldChar w:fldCharType="separate"/>
        </w:r>
        <w:r w:rsidR="00486EFE">
          <w:rPr>
            <w:noProof/>
          </w:rPr>
          <w:t>6</w:t>
        </w:r>
        <w:r w:rsidR="00B137D7">
          <w:rPr>
            <w:noProof/>
          </w:rPr>
          <w:fldChar w:fldCharType="end"/>
        </w:r>
      </w:hyperlink>
    </w:p>
    <w:p w14:paraId="76A0244E" w14:textId="40266B4B" w:rsidR="00401986" w:rsidRDefault="00587757">
      <w:pPr>
        <w:pStyle w:val="TOC1"/>
        <w:tabs>
          <w:tab w:val="right" w:leader="dot" w:pos="8296"/>
        </w:tabs>
        <w:rPr>
          <w:rFonts w:ascii="Calibri" w:hAnsi="Calibri"/>
          <w:noProof/>
          <w:sz w:val="22"/>
        </w:rPr>
      </w:pPr>
      <w:hyperlink w:anchor="_Toc256000002" w:history="1">
        <w:r w:rsidR="00B137D7">
          <w:rPr>
            <w:rStyle w:val="ad"/>
            <w:noProof/>
            <w:kern w:val="36"/>
          </w:rPr>
          <w:t>第三部分 基金的基本情况</w:t>
        </w:r>
        <w:r w:rsidR="00B137D7">
          <w:rPr>
            <w:noProof/>
          </w:rPr>
          <w:tab/>
        </w:r>
        <w:r w:rsidR="00B137D7">
          <w:rPr>
            <w:noProof/>
          </w:rPr>
          <w:fldChar w:fldCharType="begin"/>
        </w:r>
        <w:r w:rsidR="00B137D7">
          <w:rPr>
            <w:noProof/>
          </w:rPr>
          <w:instrText xml:space="preserve"> PAGEREF _Toc256000002 \h </w:instrText>
        </w:r>
        <w:r w:rsidR="00B137D7">
          <w:rPr>
            <w:noProof/>
          </w:rPr>
        </w:r>
        <w:r w:rsidR="00B137D7">
          <w:rPr>
            <w:noProof/>
          </w:rPr>
          <w:fldChar w:fldCharType="separate"/>
        </w:r>
        <w:r w:rsidR="00486EFE">
          <w:rPr>
            <w:noProof/>
          </w:rPr>
          <w:t>11</w:t>
        </w:r>
        <w:r w:rsidR="00B137D7">
          <w:rPr>
            <w:noProof/>
          </w:rPr>
          <w:fldChar w:fldCharType="end"/>
        </w:r>
      </w:hyperlink>
    </w:p>
    <w:p w14:paraId="789DBAA5" w14:textId="13E83840" w:rsidR="00401986" w:rsidRDefault="00587757">
      <w:pPr>
        <w:pStyle w:val="TOC1"/>
        <w:tabs>
          <w:tab w:val="right" w:leader="dot" w:pos="8296"/>
        </w:tabs>
        <w:rPr>
          <w:rFonts w:ascii="Calibri" w:hAnsi="Calibri"/>
          <w:noProof/>
          <w:sz w:val="22"/>
        </w:rPr>
      </w:pPr>
      <w:hyperlink w:anchor="_Toc256000003" w:history="1">
        <w:r w:rsidR="00B137D7">
          <w:rPr>
            <w:rStyle w:val="ad"/>
            <w:noProof/>
            <w:kern w:val="36"/>
          </w:rPr>
          <w:t>第四部分 基金份额的发售</w:t>
        </w:r>
        <w:r w:rsidR="00B137D7">
          <w:rPr>
            <w:noProof/>
          </w:rPr>
          <w:tab/>
        </w:r>
        <w:r w:rsidR="00B137D7">
          <w:rPr>
            <w:noProof/>
          </w:rPr>
          <w:fldChar w:fldCharType="begin"/>
        </w:r>
        <w:r w:rsidR="00B137D7">
          <w:rPr>
            <w:noProof/>
          </w:rPr>
          <w:instrText xml:space="preserve"> PAGEREF _Toc256000003 \h </w:instrText>
        </w:r>
        <w:r w:rsidR="00B137D7">
          <w:rPr>
            <w:noProof/>
          </w:rPr>
        </w:r>
        <w:r w:rsidR="00B137D7">
          <w:rPr>
            <w:noProof/>
          </w:rPr>
          <w:fldChar w:fldCharType="separate"/>
        </w:r>
        <w:r w:rsidR="00486EFE">
          <w:rPr>
            <w:noProof/>
          </w:rPr>
          <w:t>13</w:t>
        </w:r>
        <w:r w:rsidR="00B137D7">
          <w:rPr>
            <w:noProof/>
          </w:rPr>
          <w:fldChar w:fldCharType="end"/>
        </w:r>
      </w:hyperlink>
    </w:p>
    <w:p w14:paraId="560E44F3" w14:textId="1A59FD39" w:rsidR="00401986" w:rsidRDefault="00587757">
      <w:pPr>
        <w:pStyle w:val="TOC1"/>
        <w:tabs>
          <w:tab w:val="right" w:leader="dot" w:pos="8296"/>
        </w:tabs>
        <w:rPr>
          <w:rFonts w:ascii="Calibri" w:hAnsi="Calibri"/>
          <w:noProof/>
          <w:sz w:val="22"/>
        </w:rPr>
      </w:pPr>
      <w:hyperlink w:anchor="_Toc256000004" w:history="1">
        <w:r w:rsidR="00B137D7">
          <w:rPr>
            <w:rStyle w:val="ad"/>
            <w:noProof/>
            <w:kern w:val="36"/>
          </w:rPr>
          <w:t>第五部分 基金备案</w:t>
        </w:r>
        <w:r w:rsidR="00B137D7">
          <w:rPr>
            <w:noProof/>
          </w:rPr>
          <w:tab/>
        </w:r>
        <w:r w:rsidR="00B137D7">
          <w:rPr>
            <w:noProof/>
          </w:rPr>
          <w:fldChar w:fldCharType="begin"/>
        </w:r>
        <w:r w:rsidR="00B137D7">
          <w:rPr>
            <w:noProof/>
          </w:rPr>
          <w:instrText xml:space="preserve"> PAGEREF _Toc256000004 \h </w:instrText>
        </w:r>
        <w:r w:rsidR="00B137D7">
          <w:rPr>
            <w:noProof/>
          </w:rPr>
        </w:r>
        <w:r w:rsidR="00B137D7">
          <w:rPr>
            <w:noProof/>
          </w:rPr>
          <w:fldChar w:fldCharType="separate"/>
        </w:r>
        <w:r w:rsidR="00486EFE">
          <w:rPr>
            <w:noProof/>
          </w:rPr>
          <w:t>15</w:t>
        </w:r>
        <w:r w:rsidR="00B137D7">
          <w:rPr>
            <w:noProof/>
          </w:rPr>
          <w:fldChar w:fldCharType="end"/>
        </w:r>
      </w:hyperlink>
    </w:p>
    <w:p w14:paraId="7C78059A" w14:textId="7BFA2D0C" w:rsidR="00401986" w:rsidRDefault="00587757">
      <w:pPr>
        <w:pStyle w:val="TOC1"/>
        <w:tabs>
          <w:tab w:val="right" w:leader="dot" w:pos="8296"/>
        </w:tabs>
        <w:rPr>
          <w:rFonts w:ascii="Calibri" w:hAnsi="Calibri"/>
          <w:noProof/>
          <w:sz w:val="22"/>
        </w:rPr>
      </w:pPr>
      <w:hyperlink w:anchor="_Toc256000005" w:history="1">
        <w:r w:rsidR="00B137D7">
          <w:rPr>
            <w:rStyle w:val="ad"/>
            <w:noProof/>
            <w:kern w:val="36"/>
          </w:rPr>
          <w:t>第六部分 基金份额的申购与赎回</w:t>
        </w:r>
        <w:r w:rsidR="00B137D7">
          <w:rPr>
            <w:noProof/>
          </w:rPr>
          <w:tab/>
        </w:r>
        <w:r w:rsidR="00B137D7">
          <w:rPr>
            <w:noProof/>
          </w:rPr>
          <w:fldChar w:fldCharType="begin"/>
        </w:r>
        <w:r w:rsidR="00B137D7">
          <w:rPr>
            <w:noProof/>
          </w:rPr>
          <w:instrText xml:space="preserve"> PAGEREF _Toc256000005 \h </w:instrText>
        </w:r>
        <w:r w:rsidR="00B137D7">
          <w:rPr>
            <w:noProof/>
          </w:rPr>
        </w:r>
        <w:r w:rsidR="00B137D7">
          <w:rPr>
            <w:noProof/>
          </w:rPr>
          <w:fldChar w:fldCharType="separate"/>
        </w:r>
        <w:r w:rsidR="00486EFE">
          <w:rPr>
            <w:noProof/>
          </w:rPr>
          <w:t>16</w:t>
        </w:r>
        <w:r w:rsidR="00B137D7">
          <w:rPr>
            <w:noProof/>
          </w:rPr>
          <w:fldChar w:fldCharType="end"/>
        </w:r>
      </w:hyperlink>
    </w:p>
    <w:p w14:paraId="237BD14B" w14:textId="3BF2DF35" w:rsidR="00401986" w:rsidRDefault="00587757">
      <w:pPr>
        <w:pStyle w:val="TOC1"/>
        <w:tabs>
          <w:tab w:val="right" w:leader="dot" w:pos="8296"/>
        </w:tabs>
        <w:rPr>
          <w:rFonts w:ascii="Calibri" w:hAnsi="Calibri"/>
          <w:noProof/>
          <w:sz w:val="22"/>
        </w:rPr>
      </w:pPr>
      <w:hyperlink w:anchor="_Toc256000006" w:history="1">
        <w:r w:rsidR="00B137D7">
          <w:rPr>
            <w:rStyle w:val="ad"/>
            <w:noProof/>
            <w:kern w:val="36"/>
          </w:rPr>
          <w:t>第七部分 基金合同当事人及权利义务</w:t>
        </w:r>
        <w:r w:rsidR="00B137D7">
          <w:rPr>
            <w:noProof/>
          </w:rPr>
          <w:tab/>
        </w:r>
        <w:r w:rsidR="00B137D7">
          <w:rPr>
            <w:noProof/>
          </w:rPr>
          <w:fldChar w:fldCharType="begin"/>
        </w:r>
        <w:r w:rsidR="00B137D7">
          <w:rPr>
            <w:noProof/>
          </w:rPr>
          <w:instrText xml:space="preserve"> PAGEREF _Toc256000006 \h </w:instrText>
        </w:r>
        <w:r w:rsidR="00B137D7">
          <w:rPr>
            <w:noProof/>
          </w:rPr>
        </w:r>
        <w:r w:rsidR="00B137D7">
          <w:rPr>
            <w:noProof/>
          </w:rPr>
          <w:fldChar w:fldCharType="separate"/>
        </w:r>
        <w:r w:rsidR="00486EFE">
          <w:rPr>
            <w:noProof/>
          </w:rPr>
          <w:t>23</w:t>
        </w:r>
        <w:r w:rsidR="00B137D7">
          <w:rPr>
            <w:noProof/>
          </w:rPr>
          <w:fldChar w:fldCharType="end"/>
        </w:r>
      </w:hyperlink>
    </w:p>
    <w:p w14:paraId="6018F6E5" w14:textId="459C085A" w:rsidR="00401986" w:rsidRDefault="00587757">
      <w:pPr>
        <w:pStyle w:val="TOC1"/>
        <w:tabs>
          <w:tab w:val="right" w:leader="dot" w:pos="8296"/>
        </w:tabs>
        <w:rPr>
          <w:rFonts w:ascii="Calibri" w:hAnsi="Calibri"/>
          <w:noProof/>
          <w:sz w:val="22"/>
        </w:rPr>
      </w:pPr>
      <w:hyperlink w:anchor="_Toc256000007" w:history="1">
        <w:r w:rsidR="00B137D7">
          <w:rPr>
            <w:rStyle w:val="ad"/>
            <w:noProof/>
            <w:kern w:val="36"/>
          </w:rPr>
          <w:t>第八部分 基金份额持有人大会</w:t>
        </w:r>
        <w:r w:rsidR="00B137D7">
          <w:rPr>
            <w:noProof/>
          </w:rPr>
          <w:tab/>
        </w:r>
        <w:r w:rsidR="00B137D7">
          <w:rPr>
            <w:noProof/>
          </w:rPr>
          <w:fldChar w:fldCharType="begin"/>
        </w:r>
        <w:r w:rsidR="00B137D7">
          <w:rPr>
            <w:noProof/>
          </w:rPr>
          <w:instrText xml:space="preserve"> PAGEREF _Toc256000007 \h </w:instrText>
        </w:r>
        <w:r w:rsidR="00B137D7">
          <w:rPr>
            <w:noProof/>
          </w:rPr>
        </w:r>
        <w:r w:rsidR="00B137D7">
          <w:rPr>
            <w:noProof/>
          </w:rPr>
          <w:fldChar w:fldCharType="separate"/>
        </w:r>
        <w:r w:rsidR="00486EFE">
          <w:rPr>
            <w:noProof/>
          </w:rPr>
          <w:t>29</w:t>
        </w:r>
        <w:r w:rsidR="00B137D7">
          <w:rPr>
            <w:noProof/>
          </w:rPr>
          <w:fldChar w:fldCharType="end"/>
        </w:r>
      </w:hyperlink>
    </w:p>
    <w:p w14:paraId="38C4A86D" w14:textId="2EEF1349" w:rsidR="00401986" w:rsidRDefault="00587757">
      <w:pPr>
        <w:pStyle w:val="TOC1"/>
        <w:tabs>
          <w:tab w:val="right" w:leader="dot" w:pos="8296"/>
        </w:tabs>
        <w:rPr>
          <w:rFonts w:ascii="Calibri" w:hAnsi="Calibri"/>
          <w:noProof/>
          <w:sz w:val="22"/>
        </w:rPr>
      </w:pPr>
      <w:hyperlink w:anchor="_Toc256000008" w:history="1">
        <w:r w:rsidR="00B137D7">
          <w:rPr>
            <w:rStyle w:val="ad"/>
            <w:noProof/>
            <w:kern w:val="36"/>
          </w:rPr>
          <w:t>第九部分 基金管理人、基金托管人的更换条件和程序</w:t>
        </w:r>
        <w:r w:rsidR="00B137D7">
          <w:rPr>
            <w:noProof/>
          </w:rPr>
          <w:tab/>
        </w:r>
        <w:r w:rsidR="00B137D7">
          <w:rPr>
            <w:noProof/>
          </w:rPr>
          <w:fldChar w:fldCharType="begin"/>
        </w:r>
        <w:r w:rsidR="00B137D7">
          <w:rPr>
            <w:noProof/>
          </w:rPr>
          <w:instrText xml:space="preserve"> PAGEREF _Toc256000008 \h </w:instrText>
        </w:r>
        <w:r w:rsidR="00B137D7">
          <w:rPr>
            <w:noProof/>
          </w:rPr>
        </w:r>
        <w:r w:rsidR="00B137D7">
          <w:rPr>
            <w:noProof/>
          </w:rPr>
          <w:fldChar w:fldCharType="separate"/>
        </w:r>
        <w:r w:rsidR="00486EFE">
          <w:rPr>
            <w:noProof/>
          </w:rPr>
          <w:t>36</w:t>
        </w:r>
        <w:r w:rsidR="00B137D7">
          <w:rPr>
            <w:noProof/>
          </w:rPr>
          <w:fldChar w:fldCharType="end"/>
        </w:r>
      </w:hyperlink>
    </w:p>
    <w:p w14:paraId="6B7E3363" w14:textId="01D6EF57" w:rsidR="00401986" w:rsidRDefault="00587757">
      <w:pPr>
        <w:pStyle w:val="TOC1"/>
        <w:tabs>
          <w:tab w:val="right" w:leader="dot" w:pos="8296"/>
        </w:tabs>
        <w:rPr>
          <w:rFonts w:ascii="Calibri" w:hAnsi="Calibri"/>
          <w:noProof/>
          <w:sz w:val="22"/>
        </w:rPr>
      </w:pPr>
      <w:hyperlink w:anchor="_Toc256000009" w:history="1">
        <w:r w:rsidR="00B137D7">
          <w:rPr>
            <w:rStyle w:val="ad"/>
            <w:noProof/>
            <w:kern w:val="36"/>
          </w:rPr>
          <w:t>第十部分 基金的托管</w:t>
        </w:r>
        <w:r w:rsidR="00B137D7">
          <w:rPr>
            <w:noProof/>
          </w:rPr>
          <w:tab/>
        </w:r>
        <w:r w:rsidR="00B137D7">
          <w:rPr>
            <w:noProof/>
          </w:rPr>
          <w:fldChar w:fldCharType="begin"/>
        </w:r>
        <w:r w:rsidR="00B137D7">
          <w:rPr>
            <w:noProof/>
          </w:rPr>
          <w:instrText xml:space="preserve"> PAGEREF _Toc256000009 \h </w:instrText>
        </w:r>
        <w:r w:rsidR="00B137D7">
          <w:rPr>
            <w:noProof/>
          </w:rPr>
        </w:r>
        <w:r w:rsidR="00B137D7">
          <w:rPr>
            <w:noProof/>
          </w:rPr>
          <w:fldChar w:fldCharType="separate"/>
        </w:r>
        <w:r w:rsidR="00486EFE">
          <w:rPr>
            <w:noProof/>
          </w:rPr>
          <w:t>38</w:t>
        </w:r>
        <w:r w:rsidR="00B137D7">
          <w:rPr>
            <w:noProof/>
          </w:rPr>
          <w:fldChar w:fldCharType="end"/>
        </w:r>
      </w:hyperlink>
    </w:p>
    <w:p w14:paraId="63865C57" w14:textId="36B2070C" w:rsidR="00401986" w:rsidRDefault="00587757">
      <w:pPr>
        <w:pStyle w:val="TOC1"/>
        <w:tabs>
          <w:tab w:val="right" w:leader="dot" w:pos="8296"/>
        </w:tabs>
        <w:rPr>
          <w:rFonts w:ascii="Calibri" w:hAnsi="Calibri"/>
          <w:noProof/>
          <w:sz w:val="22"/>
        </w:rPr>
      </w:pPr>
      <w:hyperlink w:anchor="_Toc256000010" w:history="1">
        <w:r w:rsidR="00B137D7">
          <w:rPr>
            <w:rStyle w:val="ad"/>
            <w:noProof/>
            <w:kern w:val="36"/>
          </w:rPr>
          <w:t>第十一部分 基金份额的登记</w:t>
        </w:r>
        <w:r w:rsidR="00B137D7">
          <w:rPr>
            <w:noProof/>
          </w:rPr>
          <w:tab/>
        </w:r>
        <w:r w:rsidR="00B137D7">
          <w:rPr>
            <w:noProof/>
          </w:rPr>
          <w:fldChar w:fldCharType="begin"/>
        </w:r>
        <w:r w:rsidR="00B137D7">
          <w:rPr>
            <w:noProof/>
          </w:rPr>
          <w:instrText xml:space="preserve"> PAGEREF _Toc256000010 \h </w:instrText>
        </w:r>
        <w:r w:rsidR="00B137D7">
          <w:rPr>
            <w:noProof/>
          </w:rPr>
        </w:r>
        <w:r w:rsidR="00B137D7">
          <w:rPr>
            <w:noProof/>
          </w:rPr>
          <w:fldChar w:fldCharType="separate"/>
        </w:r>
        <w:r w:rsidR="00486EFE">
          <w:rPr>
            <w:noProof/>
          </w:rPr>
          <w:t>39</w:t>
        </w:r>
        <w:r w:rsidR="00B137D7">
          <w:rPr>
            <w:noProof/>
          </w:rPr>
          <w:fldChar w:fldCharType="end"/>
        </w:r>
      </w:hyperlink>
    </w:p>
    <w:p w14:paraId="34916DB7" w14:textId="32628CB7" w:rsidR="00401986" w:rsidRDefault="00587757">
      <w:pPr>
        <w:pStyle w:val="TOC1"/>
        <w:tabs>
          <w:tab w:val="right" w:leader="dot" w:pos="8296"/>
        </w:tabs>
        <w:rPr>
          <w:rFonts w:ascii="Calibri" w:hAnsi="Calibri"/>
          <w:noProof/>
          <w:sz w:val="22"/>
        </w:rPr>
      </w:pPr>
      <w:hyperlink w:anchor="_Toc256000011" w:history="1">
        <w:r w:rsidR="00B137D7">
          <w:rPr>
            <w:rStyle w:val="ad"/>
            <w:noProof/>
            <w:kern w:val="36"/>
          </w:rPr>
          <w:t>第十二部分 基金的投资</w:t>
        </w:r>
        <w:r w:rsidR="00B137D7">
          <w:rPr>
            <w:noProof/>
          </w:rPr>
          <w:tab/>
        </w:r>
        <w:r w:rsidR="00B137D7">
          <w:rPr>
            <w:noProof/>
          </w:rPr>
          <w:fldChar w:fldCharType="begin"/>
        </w:r>
        <w:r w:rsidR="00B137D7">
          <w:rPr>
            <w:noProof/>
          </w:rPr>
          <w:instrText xml:space="preserve"> PAGEREF _Toc256000011 \h </w:instrText>
        </w:r>
        <w:r w:rsidR="00B137D7">
          <w:rPr>
            <w:noProof/>
          </w:rPr>
        </w:r>
        <w:r w:rsidR="00B137D7">
          <w:rPr>
            <w:noProof/>
          </w:rPr>
          <w:fldChar w:fldCharType="separate"/>
        </w:r>
        <w:r w:rsidR="00486EFE">
          <w:rPr>
            <w:noProof/>
          </w:rPr>
          <w:t>40</w:t>
        </w:r>
        <w:r w:rsidR="00B137D7">
          <w:rPr>
            <w:noProof/>
          </w:rPr>
          <w:fldChar w:fldCharType="end"/>
        </w:r>
      </w:hyperlink>
    </w:p>
    <w:p w14:paraId="4A2AE5D7" w14:textId="34CF7882" w:rsidR="00401986" w:rsidRDefault="00587757">
      <w:pPr>
        <w:pStyle w:val="TOC1"/>
        <w:tabs>
          <w:tab w:val="right" w:leader="dot" w:pos="8296"/>
        </w:tabs>
        <w:rPr>
          <w:rFonts w:ascii="Calibri" w:hAnsi="Calibri"/>
          <w:noProof/>
          <w:sz w:val="22"/>
        </w:rPr>
      </w:pPr>
      <w:hyperlink w:anchor="_Toc256000012" w:history="1">
        <w:r w:rsidR="00B137D7">
          <w:rPr>
            <w:rStyle w:val="ad"/>
            <w:noProof/>
            <w:kern w:val="36"/>
          </w:rPr>
          <w:t>第十三部分 基金的财产</w:t>
        </w:r>
        <w:r w:rsidR="00B137D7">
          <w:rPr>
            <w:noProof/>
          </w:rPr>
          <w:tab/>
        </w:r>
        <w:r w:rsidR="00B137D7">
          <w:rPr>
            <w:noProof/>
          </w:rPr>
          <w:fldChar w:fldCharType="begin"/>
        </w:r>
        <w:r w:rsidR="00B137D7">
          <w:rPr>
            <w:noProof/>
          </w:rPr>
          <w:instrText xml:space="preserve"> PAGEREF _Toc256000012 \h </w:instrText>
        </w:r>
        <w:r w:rsidR="00B137D7">
          <w:rPr>
            <w:noProof/>
          </w:rPr>
        </w:r>
        <w:r w:rsidR="00B137D7">
          <w:rPr>
            <w:noProof/>
          </w:rPr>
          <w:fldChar w:fldCharType="separate"/>
        </w:r>
        <w:r w:rsidR="00486EFE">
          <w:rPr>
            <w:noProof/>
          </w:rPr>
          <w:t>46</w:t>
        </w:r>
        <w:r w:rsidR="00B137D7">
          <w:rPr>
            <w:noProof/>
          </w:rPr>
          <w:fldChar w:fldCharType="end"/>
        </w:r>
      </w:hyperlink>
    </w:p>
    <w:p w14:paraId="6AC03335" w14:textId="6D7C1040" w:rsidR="00401986" w:rsidRDefault="00587757">
      <w:pPr>
        <w:pStyle w:val="TOC1"/>
        <w:tabs>
          <w:tab w:val="right" w:leader="dot" w:pos="8296"/>
        </w:tabs>
        <w:rPr>
          <w:rFonts w:ascii="Calibri" w:hAnsi="Calibri"/>
          <w:noProof/>
          <w:sz w:val="22"/>
        </w:rPr>
      </w:pPr>
      <w:hyperlink w:anchor="_Toc256000013" w:history="1">
        <w:r w:rsidR="00B137D7">
          <w:rPr>
            <w:rStyle w:val="ad"/>
            <w:noProof/>
            <w:kern w:val="36"/>
          </w:rPr>
          <w:t>第十四部分 基金资产估值</w:t>
        </w:r>
        <w:r w:rsidR="00B137D7">
          <w:rPr>
            <w:noProof/>
          </w:rPr>
          <w:tab/>
        </w:r>
        <w:r w:rsidR="00B137D7">
          <w:rPr>
            <w:noProof/>
          </w:rPr>
          <w:fldChar w:fldCharType="begin"/>
        </w:r>
        <w:r w:rsidR="00B137D7">
          <w:rPr>
            <w:noProof/>
          </w:rPr>
          <w:instrText xml:space="preserve"> PAGEREF _Toc256000013 \h </w:instrText>
        </w:r>
        <w:r w:rsidR="00B137D7">
          <w:rPr>
            <w:noProof/>
          </w:rPr>
        </w:r>
        <w:r w:rsidR="00B137D7">
          <w:rPr>
            <w:noProof/>
          </w:rPr>
          <w:fldChar w:fldCharType="separate"/>
        </w:r>
        <w:r w:rsidR="00486EFE">
          <w:rPr>
            <w:noProof/>
          </w:rPr>
          <w:t>47</w:t>
        </w:r>
        <w:r w:rsidR="00B137D7">
          <w:rPr>
            <w:noProof/>
          </w:rPr>
          <w:fldChar w:fldCharType="end"/>
        </w:r>
      </w:hyperlink>
    </w:p>
    <w:p w14:paraId="6A796ABE" w14:textId="48241F46" w:rsidR="00401986" w:rsidRDefault="00587757">
      <w:pPr>
        <w:pStyle w:val="TOC1"/>
        <w:tabs>
          <w:tab w:val="right" w:leader="dot" w:pos="8296"/>
        </w:tabs>
        <w:rPr>
          <w:rFonts w:ascii="Calibri" w:hAnsi="Calibri"/>
          <w:noProof/>
          <w:sz w:val="22"/>
        </w:rPr>
      </w:pPr>
      <w:hyperlink w:anchor="_Toc256000014" w:history="1">
        <w:r w:rsidR="00B137D7">
          <w:rPr>
            <w:rStyle w:val="ad"/>
            <w:noProof/>
            <w:kern w:val="36"/>
          </w:rPr>
          <w:t>第十五部分 基金费用与税收</w:t>
        </w:r>
        <w:r w:rsidR="00B137D7">
          <w:rPr>
            <w:noProof/>
          </w:rPr>
          <w:tab/>
        </w:r>
        <w:r w:rsidR="00B137D7">
          <w:rPr>
            <w:noProof/>
          </w:rPr>
          <w:fldChar w:fldCharType="begin"/>
        </w:r>
        <w:r w:rsidR="00B137D7">
          <w:rPr>
            <w:noProof/>
          </w:rPr>
          <w:instrText xml:space="preserve"> PAGEREF _Toc256000014 \h </w:instrText>
        </w:r>
        <w:r w:rsidR="00B137D7">
          <w:rPr>
            <w:noProof/>
          </w:rPr>
        </w:r>
        <w:r w:rsidR="00B137D7">
          <w:rPr>
            <w:noProof/>
          </w:rPr>
          <w:fldChar w:fldCharType="separate"/>
        </w:r>
        <w:r w:rsidR="00486EFE">
          <w:rPr>
            <w:noProof/>
          </w:rPr>
          <w:t>52</w:t>
        </w:r>
        <w:r w:rsidR="00B137D7">
          <w:rPr>
            <w:noProof/>
          </w:rPr>
          <w:fldChar w:fldCharType="end"/>
        </w:r>
      </w:hyperlink>
    </w:p>
    <w:p w14:paraId="4F00E9D7" w14:textId="1CD2A87C" w:rsidR="00401986" w:rsidRDefault="00587757">
      <w:pPr>
        <w:pStyle w:val="TOC1"/>
        <w:tabs>
          <w:tab w:val="right" w:leader="dot" w:pos="8296"/>
        </w:tabs>
        <w:rPr>
          <w:rFonts w:ascii="Calibri" w:hAnsi="Calibri"/>
          <w:noProof/>
          <w:sz w:val="22"/>
        </w:rPr>
      </w:pPr>
      <w:hyperlink w:anchor="_Toc256000015" w:history="1">
        <w:r w:rsidR="00B137D7">
          <w:rPr>
            <w:rStyle w:val="ad"/>
            <w:noProof/>
            <w:kern w:val="36"/>
          </w:rPr>
          <w:t>第十六部分 基金的收益与分配</w:t>
        </w:r>
        <w:r w:rsidR="00B137D7">
          <w:rPr>
            <w:noProof/>
          </w:rPr>
          <w:tab/>
        </w:r>
        <w:r w:rsidR="00B137D7">
          <w:rPr>
            <w:noProof/>
          </w:rPr>
          <w:fldChar w:fldCharType="begin"/>
        </w:r>
        <w:r w:rsidR="00B137D7">
          <w:rPr>
            <w:noProof/>
          </w:rPr>
          <w:instrText xml:space="preserve"> PAGEREF _Toc256000015 \h </w:instrText>
        </w:r>
        <w:r w:rsidR="00B137D7">
          <w:rPr>
            <w:noProof/>
          </w:rPr>
        </w:r>
        <w:r w:rsidR="00B137D7">
          <w:rPr>
            <w:noProof/>
          </w:rPr>
          <w:fldChar w:fldCharType="separate"/>
        </w:r>
        <w:r w:rsidR="00486EFE">
          <w:rPr>
            <w:noProof/>
          </w:rPr>
          <w:t>55</w:t>
        </w:r>
        <w:r w:rsidR="00B137D7">
          <w:rPr>
            <w:noProof/>
          </w:rPr>
          <w:fldChar w:fldCharType="end"/>
        </w:r>
      </w:hyperlink>
    </w:p>
    <w:p w14:paraId="7117CFBE" w14:textId="50745450" w:rsidR="00401986" w:rsidRDefault="00587757">
      <w:pPr>
        <w:pStyle w:val="TOC1"/>
        <w:tabs>
          <w:tab w:val="right" w:leader="dot" w:pos="8296"/>
        </w:tabs>
        <w:rPr>
          <w:rFonts w:ascii="Calibri" w:hAnsi="Calibri"/>
          <w:noProof/>
          <w:sz w:val="22"/>
        </w:rPr>
      </w:pPr>
      <w:hyperlink w:anchor="_Toc256000016" w:history="1">
        <w:r w:rsidR="00B137D7">
          <w:rPr>
            <w:rStyle w:val="ad"/>
            <w:noProof/>
            <w:kern w:val="36"/>
          </w:rPr>
          <w:t>第十七部分 基金的会计与审计</w:t>
        </w:r>
        <w:r w:rsidR="00B137D7">
          <w:rPr>
            <w:noProof/>
          </w:rPr>
          <w:tab/>
        </w:r>
        <w:r w:rsidR="00B137D7">
          <w:rPr>
            <w:noProof/>
          </w:rPr>
          <w:fldChar w:fldCharType="begin"/>
        </w:r>
        <w:r w:rsidR="00B137D7">
          <w:rPr>
            <w:noProof/>
          </w:rPr>
          <w:instrText xml:space="preserve"> PAGEREF _Toc256000016 \h </w:instrText>
        </w:r>
        <w:r w:rsidR="00B137D7">
          <w:rPr>
            <w:noProof/>
          </w:rPr>
        </w:r>
        <w:r w:rsidR="00B137D7">
          <w:rPr>
            <w:noProof/>
          </w:rPr>
          <w:fldChar w:fldCharType="separate"/>
        </w:r>
        <w:r w:rsidR="00486EFE">
          <w:rPr>
            <w:noProof/>
          </w:rPr>
          <w:t>57</w:t>
        </w:r>
        <w:r w:rsidR="00B137D7">
          <w:rPr>
            <w:noProof/>
          </w:rPr>
          <w:fldChar w:fldCharType="end"/>
        </w:r>
      </w:hyperlink>
    </w:p>
    <w:p w14:paraId="3989A8C8" w14:textId="19D35A01" w:rsidR="00401986" w:rsidRDefault="00587757">
      <w:pPr>
        <w:pStyle w:val="TOC1"/>
        <w:tabs>
          <w:tab w:val="right" w:leader="dot" w:pos="8296"/>
        </w:tabs>
        <w:rPr>
          <w:rFonts w:ascii="Calibri" w:hAnsi="Calibri"/>
          <w:noProof/>
          <w:sz w:val="22"/>
        </w:rPr>
      </w:pPr>
      <w:hyperlink w:anchor="_Toc256000017" w:history="1">
        <w:r w:rsidR="00B137D7">
          <w:rPr>
            <w:rStyle w:val="ad"/>
            <w:noProof/>
            <w:kern w:val="36"/>
          </w:rPr>
          <w:t>第十八部分 基金的信息披露</w:t>
        </w:r>
        <w:r w:rsidR="00B137D7">
          <w:rPr>
            <w:noProof/>
          </w:rPr>
          <w:tab/>
        </w:r>
        <w:r w:rsidR="00B137D7">
          <w:rPr>
            <w:noProof/>
          </w:rPr>
          <w:fldChar w:fldCharType="begin"/>
        </w:r>
        <w:r w:rsidR="00B137D7">
          <w:rPr>
            <w:noProof/>
          </w:rPr>
          <w:instrText xml:space="preserve"> PAGEREF _Toc256000017 \h </w:instrText>
        </w:r>
        <w:r w:rsidR="00B137D7">
          <w:rPr>
            <w:noProof/>
          </w:rPr>
        </w:r>
        <w:r w:rsidR="00B137D7">
          <w:rPr>
            <w:noProof/>
          </w:rPr>
          <w:fldChar w:fldCharType="separate"/>
        </w:r>
        <w:r w:rsidR="00486EFE">
          <w:rPr>
            <w:noProof/>
          </w:rPr>
          <w:t>58</w:t>
        </w:r>
        <w:r w:rsidR="00B137D7">
          <w:rPr>
            <w:noProof/>
          </w:rPr>
          <w:fldChar w:fldCharType="end"/>
        </w:r>
      </w:hyperlink>
    </w:p>
    <w:p w14:paraId="711CC4C3" w14:textId="5C30A324" w:rsidR="00401986" w:rsidRDefault="00587757">
      <w:pPr>
        <w:pStyle w:val="TOC1"/>
        <w:tabs>
          <w:tab w:val="right" w:leader="dot" w:pos="8296"/>
        </w:tabs>
        <w:rPr>
          <w:rFonts w:ascii="Calibri" w:hAnsi="Calibri"/>
          <w:noProof/>
          <w:sz w:val="22"/>
        </w:rPr>
      </w:pPr>
      <w:hyperlink w:anchor="_Toc256000018" w:history="1">
        <w:r w:rsidR="00B137D7">
          <w:rPr>
            <w:rStyle w:val="ad"/>
            <w:noProof/>
            <w:kern w:val="36"/>
          </w:rPr>
          <w:t>第十九部分 基金合同的变更、终止与基金财产的清算</w:t>
        </w:r>
        <w:r w:rsidR="00B137D7">
          <w:rPr>
            <w:noProof/>
          </w:rPr>
          <w:tab/>
        </w:r>
        <w:r w:rsidR="00B137D7">
          <w:rPr>
            <w:noProof/>
          </w:rPr>
          <w:fldChar w:fldCharType="begin"/>
        </w:r>
        <w:r w:rsidR="00B137D7">
          <w:rPr>
            <w:noProof/>
          </w:rPr>
          <w:instrText xml:space="preserve"> PAGEREF _Toc256000018 \h </w:instrText>
        </w:r>
        <w:r w:rsidR="00B137D7">
          <w:rPr>
            <w:noProof/>
          </w:rPr>
        </w:r>
        <w:r w:rsidR="00B137D7">
          <w:rPr>
            <w:noProof/>
          </w:rPr>
          <w:fldChar w:fldCharType="separate"/>
        </w:r>
        <w:r w:rsidR="00486EFE">
          <w:rPr>
            <w:noProof/>
          </w:rPr>
          <w:t>64</w:t>
        </w:r>
        <w:r w:rsidR="00B137D7">
          <w:rPr>
            <w:noProof/>
          </w:rPr>
          <w:fldChar w:fldCharType="end"/>
        </w:r>
      </w:hyperlink>
    </w:p>
    <w:p w14:paraId="77B5714F" w14:textId="50EF808E" w:rsidR="00401986" w:rsidRDefault="00587757">
      <w:pPr>
        <w:pStyle w:val="TOC1"/>
        <w:tabs>
          <w:tab w:val="right" w:leader="dot" w:pos="8296"/>
        </w:tabs>
        <w:rPr>
          <w:rFonts w:ascii="Calibri" w:hAnsi="Calibri"/>
          <w:noProof/>
          <w:sz w:val="22"/>
        </w:rPr>
      </w:pPr>
      <w:hyperlink w:anchor="_Toc256000019" w:history="1">
        <w:r w:rsidR="00B137D7">
          <w:rPr>
            <w:rStyle w:val="ad"/>
            <w:noProof/>
            <w:kern w:val="36"/>
          </w:rPr>
          <w:t>第二十部分 违约责任</w:t>
        </w:r>
        <w:r w:rsidR="00B137D7">
          <w:rPr>
            <w:noProof/>
          </w:rPr>
          <w:tab/>
        </w:r>
        <w:r w:rsidR="00B137D7">
          <w:rPr>
            <w:noProof/>
          </w:rPr>
          <w:fldChar w:fldCharType="begin"/>
        </w:r>
        <w:r w:rsidR="00B137D7">
          <w:rPr>
            <w:noProof/>
          </w:rPr>
          <w:instrText xml:space="preserve"> PAGEREF _Toc256000019 \h </w:instrText>
        </w:r>
        <w:r w:rsidR="00B137D7">
          <w:rPr>
            <w:noProof/>
          </w:rPr>
        </w:r>
        <w:r w:rsidR="00B137D7">
          <w:rPr>
            <w:noProof/>
          </w:rPr>
          <w:fldChar w:fldCharType="separate"/>
        </w:r>
        <w:r w:rsidR="00486EFE">
          <w:rPr>
            <w:noProof/>
          </w:rPr>
          <w:t>66</w:t>
        </w:r>
        <w:r w:rsidR="00B137D7">
          <w:rPr>
            <w:noProof/>
          </w:rPr>
          <w:fldChar w:fldCharType="end"/>
        </w:r>
      </w:hyperlink>
    </w:p>
    <w:p w14:paraId="06C8E94D" w14:textId="0F23B7AF" w:rsidR="00401986" w:rsidRDefault="00587757">
      <w:pPr>
        <w:pStyle w:val="TOC1"/>
        <w:tabs>
          <w:tab w:val="right" w:leader="dot" w:pos="8296"/>
        </w:tabs>
        <w:rPr>
          <w:rFonts w:ascii="Calibri" w:hAnsi="Calibri"/>
          <w:noProof/>
          <w:sz w:val="22"/>
        </w:rPr>
      </w:pPr>
      <w:hyperlink w:anchor="_Toc256000020" w:history="1">
        <w:r w:rsidR="00B137D7">
          <w:rPr>
            <w:rStyle w:val="ad"/>
            <w:noProof/>
            <w:kern w:val="36"/>
          </w:rPr>
          <w:t>第二十一部分 争议的处理和适用的法律</w:t>
        </w:r>
        <w:r w:rsidR="00B137D7">
          <w:rPr>
            <w:noProof/>
          </w:rPr>
          <w:tab/>
        </w:r>
        <w:r w:rsidR="00B137D7">
          <w:rPr>
            <w:noProof/>
          </w:rPr>
          <w:fldChar w:fldCharType="begin"/>
        </w:r>
        <w:r w:rsidR="00B137D7">
          <w:rPr>
            <w:noProof/>
          </w:rPr>
          <w:instrText xml:space="preserve"> PAGEREF _Toc256000020 \h </w:instrText>
        </w:r>
        <w:r w:rsidR="00B137D7">
          <w:rPr>
            <w:noProof/>
          </w:rPr>
        </w:r>
        <w:r w:rsidR="00B137D7">
          <w:rPr>
            <w:noProof/>
          </w:rPr>
          <w:fldChar w:fldCharType="separate"/>
        </w:r>
        <w:r w:rsidR="00486EFE">
          <w:rPr>
            <w:noProof/>
          </w:rPr>
          <w:t>67</w:t>
        </w:r>
        <w:r w:rsidR="00B137D7">
          <w:rPr>
            <w:noProof/>
          </w:rPr>
          <w:fldChar w:fldCharType="end"/>
        </w:r>
      </w:hyperlink>
    </w:p>
    <w:p w14:paraId="64AADD5A" w14:textId="684A5DDC" w:rsidR="00401986" w:rsidRDefault="00587757">
      <w:pPr>
        <w:pStyle w:val="TOC1"/>
        <w:tabs>
          <w:tab w:val="right" w:leader="dot" w:pos="8296"/>
        </w:tabs>
        <w:rPr>
          <w:rFonts w:ascii="Calibri" w:hAnsi="Calibri"/>
          <w:noProof/>
          <w:sz w:val="22"/>
        </w:rPr>
      </w:pPr>
      <w:hyperlink w:anchor="_Toc256000021" w:history="1">
        <w:r w:rsidR="00B137D7">
          <w:rPr>
            <w:rStyle w:val="ad"/>
            <w:noProof/>
            <w:kern w:val="36"/>
          </w:rPr>
          <w:t>第二十二部分 基金合同的效力</w:t>
        </w:r>
        <w:r w:rsidR="00B137D7">
          <w:rPr>
            <w:noProof/>
          </w:rPr>
          <w:tab/>
        </w:r>
        <w:r w:rsidR="00B137D7">
          <w:rPr>
            <w:noProof/>
          </w:rPr>
          <w:fldChar w:fldCharType="begin"/>
        </w:r>
        <w:r w:rsidR="00B137D7">
          <w:rPr>
            <w:noProof/>
          </w:rPr>
          <w:instrText xml:space="preserve"> PAGEREF _Toc256000021 \h </w:instrText>
        </w:r>
        <w:r w:rsidR="00B137D7">
          <w:rPr>
            <w:noProof/>
          </w:rPr>
        </w:r>
        <w:r w:rsidR="00B137D7">
          <w:rPr>
            <w:noProof/>
          </w:rPr>
          <w:fldChar w:fldCharType="separate"/>
        </w:r>
        <w:r w:rsidR="00486EFE">
          <w:rPr>
            <w:noProof/>
          </w:rPr>
          <w:t>68</w:t>
        </w:r>
        <w:r w:rsidR="00B137D7">
          <w:rPr>
            <w:noProof/>
          </w:rPr>
          <w:fldChar w:fldCharType="end"/>
        </w:r>
      </w:hyperlink>
    </w:p>
    <w:p w14:paraId="09FAB03F" w14:textId="07FF9DFD" w:rsidR="00401986" w:rsidRDefault="00587757">
      <w:pPr>
        <w:pStyle w:val="TOC1"/>
        <w:tabs>
          <w:tab w:val="right" w:leader="dot" w:pos="8296"/>
        </w:tabs>
        <w:rPr>
          <w:rFonts w:ascii="Calibri" w:hAnsi="Calibri"/>
          <w:noProof/>
          <w:sz w:val="22"/>
        </w:rPr>
      </w:pPr>
      <w:hyperlink w:anchor="_Toc256000022" w:history="1">
        <w:r w:rsidR="00B137D7">
          <w:rPr>
            <w:rStyle w:val="ad"/>
            <w:noProof/>
            <w:kern w:val="36"/>
          </w:rPr>
          <w:t>第二十三部分 其他事项</w:t>
        </w:r>
        <w:r w:rsidR="00B137D7">
          <w:rPr>
            <w:noProof/>
          </w:rPr>
          <w:tab/>
        </w:r>
        <w:r w:rsidR="00B137D7">
          <w:rPr>
            <w:noProof/>
          </w:rPr>
          <w:fldChar w:fldCharType="begin"/>
        </w:r>
        <w:r w:rsidR="00B137D7">
          <w:rPr>
            <w:noProof/>
          </w:rPr>
          <w:instrText xml:space="preserve"> PAGEREF _Toc256000022 \h </w:instrText>
        </w:r>
        <w:r w:rsidR="00B137D7">
          <w:rPr>
            <w:noProof/>
          </w:rPr>
        </w:r>
        <w:r w:rsidR="00B137D7">
          <w:rPr>
            <w:noProof/>
          </w:rPr>
          <w:fldChar w:fldCharType="separate"/>
        </w:r>
        <w:r w:rsidR="00486EFE">
          <w:rPr>
            <w:noProof/>
          </w:rPr>
          <w:t>69</w:t>
        </w:r>
        <w:r w:rsidR="00B137D7">
          <w:rPr>
            <w:noProof/>
          </w:rPr>
          <w:fldChar w:fldCharType="end"/>
        </w:r>
      </w:hyperlink>
    </w:p>
    <w:p w14:paraId="71481F99" w14:textId="745C96F3" w:rsidR="00401986" w:rsidRDefault="00587757">
      <w:pPr>
        <w:pStyle w:val="TOC1"/>
        <w:tabs>
          <w:tab w:val="right" w:leader="dot" w:pos="8296"/>
        </w:tabs>
        <w:rPr>
          <w:rFonts w:ascii="Calibri" w:hAnsi="Calibri"/>
          <w:noProof/>
          <w:sz w:val="22"/>
        </w:rPr>
      </w:pPr>
      <w:hyperlink w:anchor="_Toc256000023" w:history="1">
        <w:r w:rsidR="00B137D7">
          <w:rPr>
            <w:rStyle w:val="ad"/>
            <w:noProof/>
            <w:kern w:val="36"/>
          </w:rPr>
          <w:t>第二十四部分 基金合同内容摘要</w:t>
        </w:r>
        <w:r w:rsidR="00B137D7">
          <w:rPr>
            <w:noProof/>
          </w:rPr>
          <w:tab/>
        </w:r>
        <w:r w:rsidR="00B137D7">
          <w:rPr>
            <w:noProof/>
          </w:rPr>
          <w:fldChar w:fldCharType="begin"/>
        </w:r>
        <w:r w:rsidR="00B137D7">
          <w:rPr>
            <w:noProof/>
          </w:rPr>
          <w:instrText xml:space="preserve"> PAGEREF _Toc256000023 \h </w:instrText>
        </w:r>
        <w:r w:rsidR="00B137D7">
          <w:rPr>
            <w:noProof/>
          </w:rPr>
        </w:r>
        <w:r w:rsidR="00B137D7">
          <w:rPr>
            <w:noProof/>
          </w:rPr>
          <w:fldChar w:fldCharType="separate"/>
        </w:r>
        <w:r w:rsidR="00486EFE">
          <w:rPr>
            <w:noProof/>
          </w:rPr>
          <w:t>70</w:t>
        </w:r>
        <w:r w:rsidR="00B137D7">
          <w:rPr>
            <w:noProof/>
          </w:rPr>
          <w:fldChar w:fldCharType="end"/>
        </w:r>
      </w:hyperlink>
    </w:p>
    <w:p w14:paraId="76F1320E" w14:textId="77777777" w:rsidR="00401986" w:rsidRDefault="00B137D7">
      <w:pPr>
        <w:spacing w:beforeLines="100" w:before="240" w:afterLines="100" w:after="240"/>
        <w:jc w:val="center"/>
        <w:rPr>
          <w:rFonts w:ascii="宋体" w:hAnsi="宋体" w:cs="宋体"/>
          <w:b/>
        </w:rPr>
      </w:pPr>
      <w:r>
        <w:rPr>
          <w:rFonts w:ascii="宋体" w:hAnsi="宋体" w:cs="宋体"/>
          <w:b/>
        </w:rPr>
        <w:fldChar w:fldCharType="end"/>
      </w:r>
      <w:bookmarkEnd w:id="1"/>
      <w:r>
        <w:rPr>
          <w:rFonts w:eastAsia="Times New Roman"/>
        </w:rPr>
        <w:t xml:space="preserve">  </w:t>
      </w:r>
    </w:p>
    <w:p w14:paraId="1E1A3E7F" w14:textId="77777777" w:rsidR="00401986" w:rsidRDefault="00B137D7">
      <w:pPr>
        <w:pStyle w:val="1"/>
        <w:keepLines/>
        <w:pageBreakBefore/>
        <w:widowControl w:val="0"/>
        <w:spacing w:before="0" w:after="0" w:line="360" w:lineRule="auto"/>
        <w:jc w:val="center"/>
        <w:rPr>
          <w:rFonts w:ascii="Times New Roman" w:eastAsia="Times New Roman" w:hAnsi="Times New Roman" w:cs="Times New Roman"/>
        </w:rPr>
      </w:pPr>
      <w:bookmarkStart w:id="2" w:name="_Toc256000000"/>
      <w:r>
        <w:rPr>
          <w:rFonts w:ascii="宋体" w:hAnsi="宋体" w:cs="宋体"/>
          <w:kern w:val="36"/>
          <w:sz w:val="24"/>
          <w:szCs w:val="24"/>
        </w:rPr>
        <w:lastRenderedPageBreak/>
        <w:t>第一部分 前言</w:t>
      </w:r>
      <w:bookmarkEnd w:id="2"/>
    </w:p>
    <w:p w14:paraId="6FDC47E7" w14:textId="77777777" w:rsidR="00401986" w:rsidRDefault="00401986">
      <w:pPr>
        <w:widowControl w:val="0"/>
        <w:spacing w:line="360" w:lineRule="auto"/>
        <w:jc w:val="both"/>
        <w:rPr>
          <w:rFonts w:ascii="宋体" w:hAnsi="宋体" w:cs="宋体"/>
          <w:sz w:val="21"/>
          <w:szCs w:val="21"/>
        </w:rPr>
      </w:pPr>
    </w:p>
    <w:p w14:paraId="70BF6AD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一、订立本基金合同的目的、依据和原则</w:t>
      </w:r>
    </w:p>
    <w:p w14:paraId="7A72B91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1、订立本基金合同的目的是保护投资人合法权益，明确基金合同当事人的权利义务，规范基金运作。</w:t>
      </w:r>
    </w:p>
    <w:p w14:paraId="1E343C8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和其他有关法律法规。</w:t>
      </w:r>
    </w:p>
    <w:p w14:paraId="5502699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3、订立本基金合同的原则是平等自愿、诚实信用、充分保护投资人合法权益。</w:t>
      </w:r>
    </w:p>
    <w:p w14:paraId="5899DDA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1D9766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E9F6D3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三、鹏华</w:t>
      </w:r>
      <w:r>
        <w:rPr>
          <w:rFonts w:ascii="宋体" w:hAnsi="宋体" w:cs="宋体" w:hint="eastAsia"/>
          <w:sz w:val="21"/>
          <w:szCs w:val="21"/>
        </w:rPr>
        <w:t>添鑫90天</w:t>
      </w:r>
      <w:r>
        <w:rPr>
          <w:rFonts w:ascii="宋体" w:hAnsi="宋体" w:cs="宋体"/>
          <w:sz w:val="21"/>
          <w:szCs w:val="21"/>
        </w:rPr>
        <w:t>持有期债券型证券投资基金由基金管理人依照《基金法》、基金合同及其他有关规定募集，并经中国证券监督管理委员会（以下简称“中国证监会”）注册。</w:t>
      </w:r>
    </w:p>
    <w:p w14:paraId="352D81C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中国证监会对本基金募集的注册，并不表明其对本基金的投资价值和市场前景做出实质性判断或保证，也不表明投资于本基金没有风险。</w:t>
      </w:r>
    </w:p>
    <w:p w14:paraId="2DD80B2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基金管理人依照恪尽职守、诚实信用、谨慎勤勉的原则管理和运用基金财产，但不保证投资于本基金一定盈利，也不保证最低收益。</w:t>
      </w:r>
    </w:p>
    <w:p w14:paraId="5431A86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投资者应当认真阅读基金招募说明书、基金合同、基金产品资料概要等信息披露文件，自主判断基金的投资价值，自主做出投资决策，自行承担投资风险。</w:t>
      </w:r>
    </w:p>
    <w:p w14:paraId="1017005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四、基金管理人、基金托管人在本基金合同之外披露涉及本基金的信息，其内容涉及界定基金合同当事人之间权利义务关系的，如与基金合同有冲突，以基金合同为准。</w:t>
      </w:r>
    </w:p>
    <w:p w14:paraId="5D75D46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五、</w:t>
      </w:r>
      <w:r>
        <w:rPr>
          <w:rFonts w:ascii="宋体" w:hAnsi="宋体" w:cs="宋体" w:hint="eastAsia"/>
          <w:sz w:val="21"/>
          <w:szCs w:val="21"/>
        </w:rPr>
        <w:t>对于单笔认/申购的基金份额，最短持有期为</w:t>
      </w:r>
      <w:r>
        <w:rPr>
          <w:rFonts w:ascii="宋体" w:hAnsi="宋体" w:cs="宋体"/>
          <w:sz w:val="21"/>
          <w:szCs w:val="21"/>
        </w:rPr>
        <w:t>9</w:t>
      </w:r>
      <w:r>
        <w:rPr>
          <w:rFonts w:ascii="宋体" w:hAnsi="宋体" w:cs="宋体" w:hint="eastAsia"/>
          <w:sz w:val="21"/>
          <w:szCs w:val="21"/>
        </w:rPr>
        <w:t>0天（因本基金红利再投资所生成的基金份额的最短持有</w:t>
      </w:r>
      <w:proofErr w:type="gramStart"/>
      <w:r>
        <w:rPr>
          <w:rFonts w:ascii="宋体" w:hAnsi="宋体" w:cs="宋体" w:hint="eastAsia"/>
          <w:sz w:val="21"/>
          <w:szCs w:val="21"/>
        </w:rPr>
        <w:t>期按照</w:t>
      </w:r>
      <w:proofErr w:type="gramEnd"/>
      <w:r>
        <w:rPr>
          <w:rFonts w:ascii="宋体" w:hAnsi="宋体" w:cs="宋体" w:hint="eastAsia"/>
          <w:sz w:val="21"/>
          <w:szCs w:val="21"/>
        </w:rPr>
        <w:t>本基金合同第十六部分的约定另行计算），最短持有期内基金份额持有人不能提出赎回或转换转出申请，最短持有期到期日及之后基金份额持有人可以提出赎回或转换转出申请。</w:t>
      </w:r>
    </w:p>
    <w:p w14:paraId="0C62BE2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六、</w:t>
      </w:r>
      <w:r>
        <w:rPr>
          <w:rFonts w:ascii="宋体" w:hAnsi="宋体" w:cs="宋体"/>
          <w:sz w:val="21"/>
          <w:szCs w:val="21"/>
        </w:rPr>
        <w:t>本基金按照中国法律法规成立并运作，</w:t>
      </w:r>
      <w:proofErr w:type="gramStart"/>
      <w:r>
        <w:rPr>
          <w:rFonts w:ascii="宋体" w:hAnsi="宋体" w:cs="宋体"/>
          <w:sz w:val="21"/>
          <w:szCs w:val="21"/>
        </w:rPr>
        <w:t>若基金</w:t>
      </w:r>
      <w:proofErr w:type="gramEnd"/>
      <w:r>
        <w:rPr>
          <w:rFonts w:ascii="宋体" w:hAnsi="宋体" w:cs="宋体"/>
          <w:sz w:val="21"/>
          <w:szCs w:val="21"/>
        </w:rPr>
        <w:t>合同的内容与届时有效的法律法规</w:t>
      </w:r>
      <w:r>
        <w:rPr>
          <w:rFonts w:ascii="宋体" w:hAnsi="宋体" w:cs="宋体"/>
          <w:sz w:val="21"/>
          <w:szCs w:val="21"/>
        </w:rPr>
        <w:lastRenderedPageBreak/>
        <w:t>的强制性规定不一致，应当以届时有效的法律法规的规定为准。</w:t>
      </w:r>
    </w:p>
    <w:p w14:paraId="43268BC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 </w:t>
      </w:r>
    </w:p>
    <w:p w14:paraId="38CC48ED" w14:textId="77777777" w:rsidR="00401986" w:rsidRDefault="00B137D7">
      <w:pPr>
        <w:pStyle w:val="1"/>
        <w:keepLines/>
        <w:pageBreakBefore/>
        <w:widowControl w:val="0"/>
        <w:spacing w:before="0" w:after="0" w:line="360" w:lineRule="auto"/>
        <w:jc w:val="center"/>
        <w:rPr>
          <w:rFonts w:ascii="Times New Roman" w:eastAsia="Times New Roman" w:hAnsi="Times New Roman" w:cs="Times New Roman"/>
        </w:rPr>
      </w:pPr>
      <w:bookmarkStart w:id="3" w:name="_Toc256000001"/>
      <w:r>
        <w:rPr>
          <w:rFonts w:ascii="宋体" w:hAnsi="宋体" w:cs="宋体"/>
          <w:kern w:val="36"/>
          <w:sz w:val="24"/>
          <w:szCs w:val="24"/>
        </w:rPr>
        <w:lastRenderedPageBreak/>
        <w:t>第二部分 释义</w:t>
      </w:r>
      <w:bookmarkEnd w:id="3"/>
    </w:p>
    <w:p w14:paraId="10166F76" w14:textId="77777777" w:rsidR="00401986" w:rsidRDefault="00401986">
      <w:pPr>
        <w:widowControl w:val="0"/>
        <w:spacing w:line="360" w:lineRule="auto"/>
        <w:jc w:val="both"/>
        <w:rPr>
          <w:rFonts w:ascii="宋体" w:hAnsi="宋体" w:cs="宋体"/>
          <w:sz w:val="21"/>
          <w:szCs w:val="21"/>
        </w:rPr>
      </w:pPr>
    </w:p>
    <w:p w14:paraId="47BEC0A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在本基金合同中，除非文意另有所指，下列词语或简称具有如下含义：</w:t>
      </w:r>
    </w:p>
    <w:p w14:paraId="7BF1CF1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1、基金或本基金：</w:t>
      </w:r>
      <w:proofErr w:type="gramStart"/>
      <w:r>
        <w:rPr>
          <w:rFonts w:ascii="宋体" w:hAnsi="宋体" w:cs="宋体"/>
          <w:sz w:val="21"/>
          <w:szCs w:val="21"/>
        </w:rPr>
        <w:t>指鹏华添鑫</w:t>
      </w:r>
      <w:proofErr w:type="gramEnd"/>
      <w:r>
        <w:rPr>
          <w:rFonts w:ascii="宋体" w:hAnsi="宋体" w:cs="宋体"/>
          <w:sz w:val="21"/>
          <w:szCs w:val="21"/>
        </w:rPr>
        <w:t>90天持有期债券型证券投资基金</w:t>
      </w:r>
    </w:p>
    <w:p w14:paraId="06A35C7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2、基金管理人：</w:t>
      </w:r>
      <w:proofErr w:type="gramStart"/>
      <w:r>
        <w:rPr>
          <w:rFonts w:ascii="宋体" w:hAnsi="宋体" w:cs="宋体"/>
          <w:sz w:val="21"/>
          <w:szCs w:val="21"/>
        </w:rPr>
        <w:t>指鹏华</w:t>
      </w:r>
      <w:proofErr w:type="gramEnd"/>
      <w:r>
        <w:rPr>
          <w:rFonts w:ascii="宋体" w:hAnsi="宋体" w:cs="宋体"/>
          <w:sz w:val="21"/>
          <w:szCs w:val="21"/>
        </w:rPr>
        <w:t>基金管理有限公司</w:t>
      </w:r>
    </w:p>
    <w:p w14:paraId="441ED4F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3、基金托管人：指中国建设银行股份有限公司</w:t>
      </w:r>
    </w:p>
    <w:p w14:paraId="6DDBCC4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4、基金合同、《基金合同》或本基金合同：指《鹏华添鑫90天持有期债券型证券投资基金基金合同》及对本基金合同的任何有效修订和补充</w:t>
      </w:r>
    </w:p>
    <w:p w14:paraId="2437EE5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5、托管协议：指基金管理人与基金托管人就本基金签订之《鹏华添鑫90天持有期债券型证券投资基金托管协议》及对该托管协议的任何有效修订和补充</w:t>
      </w:r>
    </w:p>
    <w:p w14:paraId="10BF953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6、招募说明书</w:t>
      </w:r>
      <w:r>
        <w:rPr>
          <w:rFonts w:ascii="宋体" w:hAnsi="宋体" w:cs="宋体" w:hint="eastAsia"/>
          <w:sz w:val="21"/>
          <w:szCs w:val="21"/>
        </w:rPr>
        <w:t>或《招募说明书》</w:t>
      </w:r>
      <w:r>
        <w:rPr>
          <w:rFonts w:ascii="宋体" w:hAnsi="宋体" w:cs="宋体"/>
          <w:sz w:val="21"/>
          <w:szCs w:val="21"/>
        </w:rPr>
        <w:t>：指《鹏华添鑫90天持有期债券型证券投资基金招募说明书》及其更新</w:t>
      </w:r>
    </w:p>
    <w:p w14:paraId="20CD14E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7、基金产品资料概要：指《鹏华添鑫90天持有期债券型证券投资基金基金产品资料概要》及其更新</w:t>
      </w:r>
    </w:p>
    <w:p w14:paraId="76A7062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8、基金份额发售公告：指《鹏华添鑫90天持有期债券型证券投资基金基金份额发售公告》</w:t>
      </w:r>
    </w:p>
    <w:p w14:paraId="00A30CA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9、法律法规：指中国现行有效并公布实施的法律、行政法规、规范性文件、司法解释、行政规章以及其他对基金合同当事人有约束力的决定、决议、通知等</w:t>
      </w:r>
    </w:p>
    <w:p w14:paraId="0A288B6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5077CAA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11、《销售办法》：指中国证监会2020年8月28日颁布、同年10月1日实施的《公开募集证券投资基金销售机构监督管理办法》及颁布机关对其不时做出的修订</w:t>
      </w:r>
    </w:p>
    <w:p w14:paraId="1EA53EE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12、《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14:paraId="446B96F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13、《运作办法》：指中国证监会2014年7月7日颁布、同年8月8日实施的《公开募集证券投资基金运作管理办法》及颁布机关对其不时做出的修订</w:t>
      </w:r>
    </w:p>
    <w:p w14:paraId="6E8C24A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14、《流动性风险管理规定》：指中国证监会2017年8月31日颁布、同年10月1日实施的《公开募集开放式证券投资基金流动性风险管理规定》及颁布机关对其不时做出的修订</w:t>
      </w:r>
    </w:p>
    <w:p w14:paraId="1167E69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15、中国证监会：指中国证券监督管理委员会</w:t>
      </w:r>
    </w:p>
    <w:p w14:paraId="5A066F32" w14:textId="7DA13278"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lastRenderedPageBreak/>
        <w:t>16、银行业监督管理机构：指中国人民银行和/或</w:t>
      </w:r>
      <w:r>
        <w:rPr>
          <w:rFonts w:ascii="宋体" w:hAnsi="宋体" w:cs="宋体" w:hint="eastAsia"/>
          <w:sz w:val="21"/>
          <w:szCs w:val="21"/>
        </w:rPr>
        <w:t>国家金融监督管理总局</w:t>
      </w:r>
    </w:p>
    <w:p w14:paraId="43E4B56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17、基金合同当事人：指受基金合同约束，根据基金合同享有权利并承担义务的法律主体，包括基金管理人、基金托管人和基金份额持有人</w:t>
      </w:r>
    </w:p>
    <w:p w14:paraId="3810A50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18、个人投资者：指依据有关法律法规规定可投资于证券投资基金的自然人</w:t>
      </w:r>
    </w:p>
    <w:p w14:paraId="71990C7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19、机构投资者：指依法可以投资证券投资基金的、在中华人民共和国境内合法登记并存续或经有关政府部门批准设立并存续的企业法人、事业法人、社会团体或其他组织</w:t>
      </w:r>
    </w:p>
    <w:p w14:paraId="177FE6C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20、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20C641E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21、投资人、投资者：指个人投资者、机构投资者、合格境外投资者以及法律法规或中国证监会允许购买证券投资基金的其他投资人的合称</w:t>
      </w:r>
    </w:p>
    <w:p w14:paraId="70DA34C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22、基金份额持有人：指依基金合同和招募说明书合法取得基金份额的投资人</w:t>
      </w:r>
    </w:p>
    <w:p w14:paraId="7E284AB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23、基金销售业务：指基金管理人或销售机构宣传推介基金，发售基金份额，办理基金份额的申购、赎回、转换、转托管及定期定额投资等业务</w:t>
      </w:r>
    </w:p>
    <w:p w14:paraId="6AC6B81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24、销售机构：</w:t>
      </w:r>
      <w:proofErr w:type="gramStart"/>
      <w:r>
        <w:rPr>
          <w:rFonts w:ascii="宋体" w:hAnsi="宋体" w:cs="宋体"/>
          <w:sz w:val="21"/>
          <w:szCs w:val="21"/>
        </w:rPr>
        <w:t>指鹏华</w:t>
      </w:r>
      <w:proofErr w:type="gramEnd"/>
      <w:r>
        <w:rPr>
          <w:rFonts w:ascii="宋体" w:hAnsi="宋体" w:cs="宋体"/>
          <w:sz w:val="21"/>
          <w:szCs w:val="21"/>
        </w:rPr>
        <w:t>基金管理有限公司以及符合《销售办法》和中国证监会规定的其他条件，取得基金销售业务资格并与基金管理人签订了基金销售服务协议，办理基金销售业务的机构</w:t>
      </w:r>
    </w:p>
    <w:p w14:paraId="6490A54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25、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cs="宋体"/>
          <w:sz w:val="21"/>
          <w:szCs w:val="21"/>
        </w:rPr>
        <w:t>非交易</w:t>
      </w:r>
      <w:proofErr w:type="gramEnd"/>
      <w:r>
        <w:rPr>
          <w:rFonts w:ascii="宋体" w:hAnsi="宋体" w:cs="宋体"/>
          <w:sz w:val="21"/>
          <w:szCs w:val="21"/>
        </w:rPr>
        <w:t>过户等</w:t>
      </w:r>
    </w:p>
    <w:p w14:paraId="1C20FEF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26、登记机构：</w:t>
      </w:r>
      <w:proofErr w:type="gramStart"/>
      <w:r>
        <w:rPr>
          <w:rFonts w:ascii="宋体" w:hAnsi="宋体" w:cs="宋体"/>
          <w:sz w:val="21"/>
          <w:szCs w:val="21"/>
        </w:rPr>
        <w:t>指办理</w:t>
      </w:r>
      <w:proofErr w:type="gramEnd"/>
      <w:r>
        <w:rPr>
          <w:rFonts w:ascii="宋体" w:hAnsi="宋体" w:cs="宋体"/>
          <w:sz w:val="21"/>
          <w:szCs w:val="21"/>
        </w:rPr>
        <w:t>登记业务的机构。基金的登记机构为鹏华基金管理有限公司或接受鹏华基金管理有限公司委托代为办理登记业务的机构</w:t>
      </w:r>
    </w:p>
    <w:p w14:paraId="38E30F3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27、基金账户：指登记机构为投资人开立的、记录其持有的、基金管理人所管理的基金份额余额及其变动情况的账户</w:t>
      </w:r>
    </w:p>
    <w:p w14:paraId="79CBB2F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28、基金交易账户：指销售机构为投资人开立的、记录投资人通过该销售机构办理认购、申购、赎回、转换、转托管及定期定额投资等业务而引起的基金份额变动及结余情况的账户</w:t>
      </w:r>
    </w:p>
    <w:p w14:paraId="169E26A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29、基金合同生效日：指基金募集达到法律法规规定及基金合同规定的条件，基金管理人向中国证监会办理基金备案手续完毕，并获得中国证监会书面确认的日期</w:t>
      </w:r>
    </w:p>
    <w:p w14:paraId="4C3D4B4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30、基金合同终止日：指基金合同规定的基金合同终止事由出现后，基金财产清算完毕，清算结果报中国证监会备案并予以公告的日期</w:t>
      </w:r>
    </w:p>
    <w:p w14:paraId="667EAE2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31、基金募集期：指自基金份额发售之日起至发售结束之日止的期间，最长不得超过3个月</w:t>
      </w:r>
    </w:p>
    <w:p w14:paraId="24EAE3B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lastRenderedPageBreak/>
        <w:t>32、存续期：指基金合同生效至终止之间的不定期期限</w:t>
      </w:r>
    </w:p>
    <w:p w14:paraId="622E67A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33、工作日：指上海证券交易所、深圳证券交易所的正常交易日</w:t>
      </w:r>
    </w:p>
    <w:p w14:paraId="294C384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34、T日：指销售机构在规定时间受理投资人申购、赎回或其他业务申请的开放日</w:t>
      </w:r>
    </w:p>
    <w:p w14:paraId="6C17F33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35、T+n日：指自T日起第n</w:t>
      </w:r>
      <w:proofErr w:type="gramStart"/>
      <w:r>
        <w:rPr>
          <w:rFonts w:ascii="宋体" w:hAnsi="宋体" w:cs="宋体"/>
          <w:sz w:val="21"/>
          <w:szCs w:val="21"/>
        </w:rPr>
        <w:t>个</w:t>
      </w:r>
      <w:proofErr w:type="gramEnd"/>
      <w:r>
        <w:rPr>
          <w:rFonts w:ascii="宋体" w:hAnsi="宋体" w:cs="宋体"/>
          <w:sz w:val="21"/>
          <w:szCs w:val="21"/>
        </w:rPr>
        <w:t>工作日（不包含T日）</w:t>
      </w:r>
    </w:p>
    <w:p w14:paraId="6DDAE67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36、开放日：指为投资人办理基金份额申购、赎回或其他业务的工作日</w:t>
      </w:r>
    </w:p>
    <w:p w14:paraId="01C745F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37、开放时间：指开放日基金接受申购、赎回或其他交易的时间段</w:t>
      </w:r>
    </w:p>
    <w:p w14:paraId="54D397C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38、最短持有期：指本基金对每份基金份额设置</w:t>
      </w:r>
      <w:r>
        <w:rPr>
          <w:rFonts w:ascii="宋体" w:hAnsi="宋体" w:cs="宋体"/>
          <w:sz w:val="21"/>
          <w:szCs w:val="21"/>
        </w:rPr>
        <w:t>9</w:t>
      </w:r>
      <w:r>
        <w:rPr>
          <w:rFonts w:ascii="宋体" w:hAnsi="宋体" w:cs="宋体" w:hint="eastAsia"/>
          <w:sz w:val="21"/>
          <w:szCs w:val="21"/>
        </w:rPr>
        <w:t>0天的最短持有期（因本基金红利再投资所生成的基金份额的最短持有</w:t>
      </w:r>
      <w:proofErr w:type="gramStart"/>
      <w:r>
        <w:rPr>
          <w:rFonts w:ascii="宋体" w:hAnsi="宋体" w:cs="宋体" w:hint="eastAsia"/>
          <w:sz w:val="21"/>
          <w:szCs w:val="21"/>
        </w:rPr>
        <w:t>期按照</w:t>
      </w:r>
      <w:proofErr w:type="gramEnd"/>
      <w:r>
        <w:rPr>
          <w:rFonts w:ascii="宋体" w:hAnsi="宋体" w:cs="宋体" w:hint="eastAsia"/>
          <w:sz w:val="21"/>
          <w:szCs w:val="21"/>
        </w:rPr>
        <w:t>本基金合同第十六部分的约定另行计算）。在最短持有期到期日之前（不含当日），投资者不能提出赎回或转换转出申请；最短持有期期满后（含最短持有期到期日当日）投资者可以申请赎回或转换转出</w:t>
      </w:r>
    </w:p>
    <w:p w14:paraId="54737E7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39、最短持有期起始日：指基金合同生效日（对认购份额而言）或该基金份额申购申请确认日（对申购份额而言）或该基金份额转换转入确认日（对转换转入份额而言）</w:t>
      </w:r>
    </w:p>
    <w:p w14:paraId="6DC7C11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40、最短持有期到期日：指最短持有期起始日起第</w:t>
      </w:r>
      <w:r>
        <w:rPr>
          <w:rFonts w:ascii="宋体" w:hAnsi="宋体" w:cs="宋体"/>
          <w:sz w:val="21"/>
          <w:szCs w:val="21"/>
        </w:rPr>
        <w:t>9</w:t>
      </w:r>
      <w:r>
        <w:rPr>
          <w:rFonts w:ascii="宋体" w:hAnsi="宋体" w:cs="宋体" w:hint="eastAsia"/>
          <w:sz w:val="21"/>
          <w:szCs w:val="21"/>
        </w:rPr>
        <w:t>0天，如该日为非工作日，则顺延至下一工作日。因不可抗力或基金合同约定的其他情形致使基金管理人无法在该基金份额的最短持有期到期日开放办理该基金份额的赎回或转换转出业务的，该基金份额的最短持有期到期日顺延至不可抗力或基金合同约定的其他情形的影响因素消除之日起的下一个工作日</w:t>
      </w:r>
    </w:p>
    <w:p w14:paraId="2348A1F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41、《业务规则》：指《鹏华基金管理有限公司开放式基金业务规则》，是规范基金管理人所管理的开放式证券投资基金登记方面的业务规则，由基金管理人和投资人共同遵守</w:t>
      </w:r>
    </w:p>
    <w:p w14:paraId="3479991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42、认购：指在基金募集期内，投资人申请购买基金份额的行为</w:t>
      </w:r>
    </w:p>
    <w:p w14:paraId="37F372A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43、申购：指基金合同生效后，投资人根据基金合同和招募说明书的规定申请购买基金份额的行为</w:t>
      </w:r>
    </w:p>
    <w:p w14:paraId="118171D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44、赎回：指基金合同生效后，基金份额持有人按基金合同和招募说明书规定的条件要求将基金份额兑换为现金的行为</w:t>
      </w:r>
    </w:p>
    <w:p w14:paraId="2DF824E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45、基金转换：指基金份额持有人按照本基金合同和基金管理人届时有效公告规定的条件，申请将其持有基金管理人管理的、某一基金的基金份额转换为基金管理人管理的其他</w:t>
      </w:r>
      <w:proofErr w:type="gramStart"/>
      <w:r>
        <w:rPr>
          <w:rFonts w:ascii="宋体" w:hAnsi="宋体" w:cs="宋体"/>
          <w:sz w:val="21"/>
          <w:szCs w:val="21"/>
        </w:rPr>
        <w:t>基金基金</w:t>
      </w:r>
      <w:proofErr w:type="gramEnd"/>
      <w:r>
        <w:rPr>
          <w:rFonts w:ascii="宋体" w:hAnsi="宋体" w:cs="宋体"/>
          <w:sz w:val="21"/>
          <w:szCs w:val="21"/>
        </w:rPr>
        <w:t>份额的行为</w:t>
      </w:r>
    </w:p>
    <w:p w14:paraId="23ACCB2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46、转托管：指基金份额持有人在本基金的不同销售机构之间实施的变更所持基金份额销售机构的操作</w:t>
      </w:r>
    </w:p>
    <w:p w14:paraId="36FA35B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47、定期定额投资计划：指投资人通过有关销售机构提出申请，约定每期申购日、扣款金额及扣款方式，由销售机构于每期约定扣款日在投资人指定银行账户内自动完成扣款及受理基金申购申请的一种投资方式</w:t>
      </w:r>
    </w:p>
    <w:p w14:paraId="37EC71B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48、巨额赎回：指本基金单个开放日，基金净赎回申请（赎回申请份额总数加上基金</w:t>
      </w:r>
      <w:r>
        <w:rPr>
          <w:rFonts w:ascii="宋体" w:hAnsi="宋体" w:cs="宋体"/>
          <w:sz w:val="21"/>
          <w:szCs w:val="21"/>
        </w:rPr>
        <w:lastRenderedPageBreak/>
        <w:t>转换中转出申请份额总数后扣除申购申请份额总数及基金转换中转入申请份额总数后的余额）超过上一开放日基金总份额的10%</w:t>
      </w:r>
    </w:p>
    <w:p w14:paraId="04D291E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49、元：指人民币元</w:t>
      </w:r>
    </w:p>
    <w:p w14:paraId="1D35304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50、基金收益：指基金投资所得</w:t>
      </w:r>
      <w:r>
        <w:rPr>
          <w:rFonts w:ascii="宋体" w:hAnsi="宋体" w:cs="宋体" w:hint="eastAsia"/>
          <w:sz w:val="21"/>
          <w:szCs w:val="21"/>
        </w:rPr>
        <w:t>红</w:t>
      </w:r>
      <w:r>
        <w:rPr>
          <w:rFonts w:ascii="宋体" w:hAnsi="宋体" w:cs="宋体"/>
          <w:sz w:val="21"/>
          <w:szCs w:val="21"/>
        </w:rPr>
        <w:t>利、股息、债券利息、买卖证券价差、银行存款利息、已实现的其他合法收入及因运用基金财产带来的成本和费用的节约</w:t>
      </w:r>
    </w:p>
    <w:p w14:paraId="1C88EA7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51、基金资产总值：指基金拥有的各类有价证券、银行存款本息、基金应收申购款及其他资产的价值总和</w:t>
      </w:r>
    </w:p>
    <w:p w14:paraId="4B9750D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52、基金资产净值：指基金资产总值减去基金负债后的价值</w:t>
      </w:r>
    </w:p>
    <w:p w14:paraId="0705F74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53、基金份额净值：指计算日基金资产净值除以计算日基金份额总数</w:t>
      </w:r>
    </w:p>
    <w:p w14:paraId="0AEBC26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54、基金资产估值：指计算评估基金资产和负债的价值，以确定基金资产净值和基金份额净值的过程</w:t>
      </w:r>
    </w:p>
    <w:p w14:paraId="118D7C9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55、规定媒介：指符合中国证监会规定条件的用以进行信息披露的全国性报刊及《信息披露办法》规定的互联网网站（包括基金管理人网站、基金托管人网站、中国证监会基金电子披露网站）等媒介</w:t>
      </w:r>
    </w:p>
    <w:p w14:paraId="7BF1E69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56、销售服务费：指从基金财产中计提的，用于本基金市场推广、销售以及基金份额持有人服务的费用</w:t>
      </w:r>
    </w:p>
    <w:p w14:paraId="0A2886CD" w14:textId="4FA4F696"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57、</w:t>
      </w:r>
      <w:r w:rsidR="00A7216A" w:rsidRPr="00A7216A">
        <w:rPr>
          <w:rFonts w:ascii="宋体" w:hAnsi="宋体" w:cs="宋体" w:hint="eastAsia"/>
          <w:sz w:val="21"/>
          <w:szCs w:val="21"/>
        </w:rPr>
        <w:t>基金份额分类：本基金根据销售服务费及认购、申购费用收取方式的不同，将基金份额分为不同的类别。在投资人认购、申购基金时收取认购、申购费用，并不再从本类别基金资产中计</w:t>
      </w:r>
      <w:proofErr w:type="gramStart"/>
      <w:r w:rsidR="00A7216A" w:rsidRPr="00A7216A">
        <w:rPr>
          <w:rFonts w:ascii="宋体" w:hAnsi="宋体" w:cs="宋体" w:hint="eastAsia"/>
          <w:sz w:val="21"/>
          <w:szCs w:val="21"/>
        </w:rPr>
        <w:t>提销售</w:t>
      </w:r>
      <w:proofErr w:type="gramEnd"/>
      <w:r w:rsidR="00A7216A" w:rsidRPr="00A7216A">
        <w:rPr>
          <w:rFonts w:ascii="宋体" w:hAnsi="宋体" w:cs="宋体" w:hint="eastAsia"/>
          <w:sz w:val="21"/>
          <w:szCs w:val="21"/>
        </w:rPr>
        <w:t>服务费的基金份额，称为A 类基金份额（其中，投资人通过直销机构认购、申购A类基金份额时不收取认购、申购费用）；从本类别基金资产中计</w:t>
      </w:r>
      <w:proofErr w:type="gramStart"/>
      <w:r w:rsidR="00A7216A" w:rsidRPr="00A7216A">
        <w:rPr>
          <w:rFonts w:ascii="宋体" w:hAnsi="宋体" w:cs="宋体" w:hint="eastAsia"/>
          <w:sz w:val="21"/>
          <w:szCs w:val="21"/>
        </w:rPr>
        <w:t>提销售</w:t>
      </w:r>
      <w:proofErr w:type="gramEnd"/>
      <w:r w:rsidR="00A7216A" w:rsidRPr="00A7216A">
        <w:rPr>
          <w:rFonts w:ascii="宋体" w:hAnsi="宋体" w:cs="宋体" w:hint="eastAsia"/>
          <w:sz w:val="21"/>
          <w:szCs w:val="21"/>
        </w:rPr>
        <w:t>服务费，并不收取认购、申购费用的基金份额，称为C 类基金份额（其中，投资人通过直销机构认购、申购的C类基金份额不收取销售服务费；投资人通过直销机构以外的其他销售机构认购、申购</w:t>
      </w:r>
      <w:r w:rsidR="00131F9B" w:rsidRPr="00A7216A">
        <w:rPr>
          <w:rFonts w:ascii="宋体" w:hAnsi="宋体" w:cs="宋体" w:hint="eastAsia"/>
          <w:sz w:val="21"/>
          <w:szCs w:val="21"/>
        </w:rPr>
        <w:t>且持续持有期限超过一年（即365天）的</w:t>
      </w:r>
      <w:r w:rsidR="00A7216A" w:rsidRPr="00A7216A">
        <w:rPr>
          <w:rFonts w:ascii="宋体" w:hAnsi="宋体" w:cs="宋体" w:hint="eastAsia"/>
          <w:sz w:val="21"/>
          <w:szCs w:val="21"/>
        </w:rPr>
        <w:t>C类基金份额，将不再继续收取销售服务费）。两类基金份额分设不同的基金代码，并分别公布基金份额净值</w:t>
      </w:r>
    </w:p>
    <w:p w14:paraId="4FC82CD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58、流动性受限资产：指由于法律法规、监管、合同或操作障碍等原因无法以合理价格予以变现的资产，包括但不限于到期日在10个交易日以上的逆回购与银行定期存款（</w:t>
      </w:r>
      <w:proofErr w:type="gramStart"/>
      <w:r>
        <w:rPr>
          <w:rFonts w:ascii="宋体" w:hAnsi="宋体" w:cs="宋体"/>
          <w:sz w:val="21"/>
          <w:szCs w:val="21"/>
        </w:rPr>
        <w:t>含协议</w:t>
      </w:r>
      <w:proofErr w:type="gramEnd"/>
      <w:r>
        <w:rPr>
          <w:rFonts w:ascii="宋体" w:hAnsi="宋体" w:cs="宋体"/>
          <w:sz w:val="21"/>
          <w:szCs w:val="21"/>
        </w:rPr>
        <w:t>约定有条件提前支取的银行存款）、</w:t>
      </w:r>
      <w:r>
        <w:rPr>
          <w:rFonts w:ascii="宋体" w:hAnsi="宋体" w:cs="宋体" w:hint="eastAsia"/>
          <w:sz w:val="21"/>
          <w:szCs w:val="21"/>
        </w:rPr>
        <w:t>停牌股票、流通受限的新股及非公开发行股票、</w:t>
      </w:r>
      <w:r>
        <w:rPr>
          <w:rFonts w:ascii="宋体" w:hAnsi="宋体" w:cs="宋体"/>
          <w:sz w:val="21"/>
          <w:szCs w:val="21"/>
        </w:rPr>
        <w:t>资产支持证券、因发行人债务违约无法进行转让或交易的债券等</w:t>
      </w:r>
    </w:p>
    <w:p w14:paraId="4D6CB05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59、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5DB6901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60、</w:t>
      </w:r>
      <w:proofErr w:type="gramStart"/>
      <w:r>
        <w:rPr>
          <w:rFonts w:ascii="宋体" w:hAnsi="宋体" w:cs="宋体"/>
          <w:sz w:val="21"/>
          <w:szCs w:val="21"/>
        </w:rPr>
        <w:t>侧袋机制</w:t>
      </w:r>
      <w:proofErr w:type="gramEnd"/>
      <w:r>
        <w:rPr>
          <w:rFonts w:ascii="宋体" w:hAnsi="宋体" w:cs="宋体"/>
          <w:sz w:val="21"/>
          <w:szCs w:val="21"/>
        </w:rPr>
        <w:t>：指将基金投资组合中的特定资产从原有账户分离至一个专门账户进行处置清算，目的在于有效隔离并化解风险，确保投资者得到公平对待，属于流动性风险管理工具。</w:t>
      </w:r>
      <w:proofErr w:type="gramStart"/>
      <w:r>
        <w:rPr>
          <w:rFonts w:ascii="宋体" w:hAnsi="宋体" w:cs="宋体"/>
          <w:sz w:val="21"/>
          <w:szCs w:val="21"/>
        </w:rPr>
        <w:t>侧袋机制</w:t>
      </w:r>
      <w:proofErr w:type="gramEnd"/>
      <w:r>
        <w:rPr>
          <w:rFonts w:ascii="宋体" w:hAnsi="宋体" w:cs="宋体"/>
          <w:sz w:val="21"/>
          <w:szCs w:val="21"/>
        </w:rPr>
        <w:t>实施期间，原有账户称为主袋账户，专门账户</w:t>
      </w:r>
      <w:proofErr w:type="gramStart"/>
      <w:r>
        <w:rPr>
          <w:rFonts w:ascii="宋体" w:hAnsi="宋体" w:cs="宋体"/>
          <w:sz w:val="21"/>
          <w:szCs w:val="21"/>
        </w:rPr>
        <w:t>称为侧袋账</w:t>
      </w:r>
      <w:proofErr w:type="gramEnd"/>
      <w:r>
        <w:rPr>
          <w:rFonts w:ascii="宋体" w:hAnsi="宋体" w:cs="宋体"/>
          <w:sz w:val="21"/>
          <w:szCs w:val="21"/>
        </w:rPr>
        <w:t>户</w:t>
      </w:r>
    </w:p>
    <w:p w14:paraId="3FC3887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lastRenderedPageBreak/>
        <w:t>61、特定资产：包括：（1）无可参考的活跃市场价格且采用估值技术</w:t>
      </w:r>
      <w:proofErr w:type="gramStart"/>
      <w:r>
        <w:rPr>
          <w:rFonts w:ascii="宋体" w:hAnsi="宋体" w:cs="宋体"/>
          <w:sz w:val="21"/>
          <w:szCs w:val="21"/>
        </w:rPr>
        <w:t>仍导致</w:t>
      </w:r>
      <w:proofErr w:type="gramEnd"/>
      <w:r>
        <w:rPr>
          <w:rFonts w:ascii="宋体" w:hAnsi="宋体" w:cs="宋体"/>
          <w:sz w:val="21"/>
          <w:szCs w:val="21"/>
        </w:rPr>
        <w:t>公允价值存在重大不确定性的资产；（2）</w:t>
      </w:r>
      <w:proofErr w:type="gramStart"/>
      <w:r>
        <w:rPr>
          <w:rFonts w:ascii="宋体" w:hAnsi="宋体" w:cs="宋体"/>
          <w:sz w:val="21"/>
          <w:szCs w:val="21"/>
        </w:rPr>
        <w:t>按摊余成本</w:t>
      </w:r>
      <w:proofErr w:type="gramEnd"/>
      <w:r>
        <w:rPr>
          <w:rFonts w:ascii="宋体" w:hAnsi="宋体" w:cs="宋体"/>
          <w:sz w:val="21"/>
          <w:szCs w:val="21"/>
        </w:rPr>
        <w:t>计量且计提资产减值</w:t>
      </w:r>
      <w:proofErr w:type="gramStart"/>
      <w:r>
        <w:rPr>
          <w:rFonts w:ascii="宋体" w:hAnsi="宋体" w:cs="宋体"/>
          <w:sz w:val="21"/>
          <w:szCs w:val="21"/>
        </w:rPr>
        <w:t>准备仍导</w:t>
      </w:r>
      <w:proofErr w:type="gramEnd"/>
      <w:r>
        <w:rPr>
          <w:rFonts w:ascii="宋体" w:hAnsi="宋体" w:cs="宋体"/>
          <w:sz w:val="21"/>
          <w:szCs w:val="21"/>
        </w:rPr>
        <w:t>致资产价值存在重大不确定性的资产；（3）其他资产价值存在重大不确定性的资产</w:t>
      </w:r>
    </w:p>
    <w:p w14:paraId="4B56441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62、不可抗力：指本基金合同当事人不能预见、不能避免且不能克服的客观事件</w:t>
      </w:r>
    </w:p>
    <w:p w14:paraId="477E4B64" w14:textId="77777777" w:rsidR="00401986" w:rsidRDefault="00B137D7">
      <w:pPr>
        <w:pStyle w:val="1"/>
        <w:keepLines/>
        <w:pageBreakBefore/>
        <w:widowControl w:val="0"/>
        <w:spacing w:before="210" w:after="0" w:line="360" w:lineRule="auto"/>
        <w:jc w:val="center"/>
        <w:rPr>
          <w:rFonts w:ascii="Times New Roman" w:eastAsia="Times New Roman" w:hAnsi="Times New Roman" w:cs="Times New Roman"/>
        </w:rPr>
      </w:pPr>
      <w:bookmarkStart w:id="4" w:name="_Toc256000002"/>
      <w:r>
        <w:rPr>
          <w:rFonts w:ascii="宋体" w:hAnsi="宋体" w:cs="宋体"/>
          <w:kern w:val="36"/>
          <w:sz w:val="24"/>
          <w:szCs w:val="24"/>
        </w:rPr>
        <w:lastRenderedPageBreak/>
        <w:t>第三部分 基金的基本情况</w:t>
      </w:r>
      <w:bookmarkEnd w:id="4"/>
    </w:p>
    <w:p w14:paraId="531F27E6" w14:textId="77777777" w:rsidR="00401986" w:rsidRDefault="00401986">
      <w:pPr>
        <w:widowControl w:val="0"/>
        <w:spacing w:line="360" w:lineRule="auto"/>
        <w:jc w:val="both"/>
        <w:rPr>
          <w:rFonts w:ascii="宋体" w:hAnsi="宋体" w:cs="宋体"/>
          <w:sz w:val="21"/>
          <w:szCs w:val="21"/>
        </w:rPr>
      </w:pPr>
    </w:p>
    <w:p w14:paraId="6D4A83F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一、基金名称</w:t>
      </w:r>
    </w:p>
    <w:p w14:paraId="5EB5534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鹏华添鑫90天持有期债券型证券投资基金</w:t>
      </w:r>
    </w:p>
    <w:p w14:paraId="6D49903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二、基金的类别</w:t>
      </w:r>
    </w:p>
    <w:p w14:paraId="3A2E15E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债券型证券投资基金</w:t>
      </w:r>
    </w:p>
    <w:p w14:paraId="150BE27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三、基金的运作方式</w:t>
      </w:r>
    </w:p>
    <w:p w14:paraId="03FBC00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契约型开放式</w:t>
      </w:r>
    </w:p>
    <w:p w14:paraId="6C01B8D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本基金对每份基金份额设置</w:t>
      </w:r>
      <w:r>
        <w:rPr>
          <w:rFonts w:ascii="宋体" w:hAnsi="宋体" w:cs="宋体"/>
          <w:sz w:val="21"/>
          <w:szCs w:val="21"/>
        </w:rPr>
        <w:t>90天</w:t>
      </w:r>
      <w:r>
        <w:rPr>
          <w:rFonts w:ascii="宋体" w:hAnsi="宋体" w:cs="宋体" w:hint="eastAsia"/>
          <w:sz w:val="21"/>
          <w:szCs w:val="21"/>
        </w:rPr>
        <w:t>的最短持有期。对于每份基金份额，最短持有期起始日指基金合同生效日（对认购份额而言）或该基金份额申购申请确认日（对申购份额而言）或该基金份额转换转入确认日（对转换转入份额而言）；最短持有期到期日指该基金份额最短持有期起始日起第</w:t>
      </w:r>
      <w:r>
        <w:rPr>
          <w:rFonts w:ascii="宋体" w:hAnsi="宋体" w:cs="宋体"/>
          <w:sz w:val="21"/>
          <w:szCs w:val="21"/>
        </w:rPr>
        <w:t>90天</w:t>
      </w:r>
      <w:r>
        <w:rPr>
          <w:rFonts w:ascii="宋体" w:hAnsi="宋体" w:cs="宋体" w:hint="eastAsia"/>
          <w:sz w:val="21"/>
          <w:szCs w:val="21"/>
        </w:rPr>
        <w:t>，如该对应日为非工作日，则顺延至下一工作日。</w:t>
      </w:r>
    </w:p>
    <w:p w14:paraId="191DA93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在每份基金份额的最短持有期到期日前（不含当日），基金份额持有人不能对该基金份额提出赎回或转换转出申请；每份基金份额的最短持有期到期日起（含当日），基金份额持有人可对该基金份额提出赎回或转换转出申请。因不可抗力或基金合同约定的其他情形致使基金管理人无法在该基金份额的最短持有期到期日开放办理该基金份额的赎回或转换转出业务的，该基金份额的最短持有期到期日顺延至不可抗力或基金合同约定的其他情形的影响因素消除之日起的下一个工作日。因本基金红利再投资所生成的基金份额的最短持有</w:t>
      </w:r>
      <w:proofErr w:type="gramStart"/>
      <w:r>
        <w:rPr>
          <w:rFonts w:ascii="宋体" w:hAnsi="宋体" w:cs="宋体" w:hint="eastAsia"/>
          <w:sz w:val="21"/>
          <w:szCs w:val="21"/>
        </w:rPr>
        <w:t>期按照</w:t>
      </w:r>
      <w:proofErr w:type="gramEnd"/>
      <w:r>
        <w:rPr>
          <w:rFonts w:ascii="宋体" w:hAnsi="宋体" w:cs="宋体" w:hint="eastAsia"/>
          <w:sz w:val="21"/>
          <w:szCs w:val="21"/>
        </w:rPr>
        <w:t>本基金合同第十六部分的约定另行计算。</w:t>
      </w:r>
    </w:p>
    <w:p w14:paraId="21F2506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四、基金的投资目标</w:t>
      </w:r>
    </w:p>
    <w:p w14:paraId="6803E8B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在追求基金资产稳定增值、有效控制风险的基础上，通过积极主动的投资管理，力求取得超越基金业绩比较基准的收益。</w:t>
      </w:r>
    </w:p>
    <w:p w14:paraId="7904B2F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五、基金的最低募集份额总额</w:t>
      </w:r>
    </w:p>
    <w:p w14:paraId="4453785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本基金的最低募集份额总额为2亿份。</w:t>
      </w:r>
    </w:p>
    <w:p w14:paraId="513B7E3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六、基金份额面值和认购费用</w:t>
      </w:r>
    </w:p>
    <w:p w14:paraId="7264CB3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w:t>
      </w:r>
      <w:proofErr w:type="gramStart"/>
      <w:r>
        <w:rPr>
          <w:rFonts w:ascii="宋体" w:hAnsi="宋体" w:cs="宋体"/>
          <w:sz w:val="21"/>
          <w:szCs w:val="21"/>
        </w:rPr>
        <w:t>基金基金</w:t>
      </w:r>
      <w:proofErr w:type="gramEnd"/>
      <w:r>
        <w:rPr>
          <w:rFonts w:ascii="宋体" w:hAnsi="宋体" w:cs="宋体"/>
          <w:sz w:val="21"/>
          <w:szCs w:val="21"/>
        </w:rPr>
        <w:t>份额发售面值为人民币1.00元。</w:t>
      </w:r>
    </w:p>
    <w:p w14:paraId="1FD48CF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本基金A类基金份额具体认购费率按招募说明书及基金产品资料概要的规定执行。本基金C类基金份额不收取认购费。</w:t>
      </w:r>
    </w:p>
    <w:p w14:paraId="382FC78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七、基金存续期限</w:t>
      </w:r>
    </w:p>
    <w:p w14:paraId="1C07497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不定期</w:t>
      </w:r>
    </w:p>
    <w:p w14:paraId="5E98FFA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八、基金份额类别</w:t>
      </w:r>
    </w:p>
    <w:p w14:paraId="2E94FC8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本基金根据销售服务费及认购、申购费用收取方式的不同，将基金份额分为不同的类别。</w:t>
      </w:r>
    </w:p>
    <w:p w14:paraId="24A8330A" w14:textId="79EE0E95" w:rsidR="00401986" w:rsidRDefault="00E31408">
      <w:pPr>
        <w:widowControl w:val="0"/>
        <w:spacing w:line="360" w:lineRule="auto"/>
        <w:ind w:firstLine="420"/>
        <w:jc w:val="both"/>
        <w:rPr>
          <w:rFonts w:ascii="宋体" w:hAnsi="宋体" w:cs="宋体"/>
          <w:sz w:val="21"/>
          <w:szCs w:val="21"/>
        </w:rPr>
      </w:pPr>
      <w:r w:rsidRPr="00E31408">
        <w:rPr>
          <w:rFonts w:ascii="宋体" w:hAnsi="宋体" w:cs="宋体" w:hint="eastAsia"/>
          <w:sz w:val="21"/>
          <w:szCs w:val="21"/>
        </w:rPr>
        <w:lastRenderedPageBreak/>
        <w:t>在投资人认购、申购基金时收取认购、申购费用，并不再从本类别基金资产中计</w:t>
      </w:r>
      <w:proofErr w:type="gramStart"/>
      <w:r w:rsidRPr="00E31408">
        <w:rPr>
          <w:rFonts w:ascii="宋体" w:hAnsi="宋体" w:cs="宋体" w:hint="eastAsia"/>
          <w:sz w:val="21"/>
          <w:szCs w:val="21"/>
        </w:rPr>
        <w:t>提销售</w:t>
      </w:r>
      <w:proofErr w:type="gramEnd"/>
      <w:r w:rsidRPr="00E31408">
        <w:rPr>
          <w:rFonts w:ascii="宋体" w:hAnsi="宋体" w:cs="宋体" w:hint="eastAsia"/>
          <w:sz w:val="21"/>
          <w:szCs w:val="21"/>
        </w:rPr>
        <w:t>服务费的基金份额，称为A 类基金份额（其中，投资人通过直销机构认购、申购A类基金份额时不收取认购、申购费用）；从本类别基金资产中计</w:t>
      </w:r>
      <w:proofErr w:type="gramStart"/>
      <w:r w:rsidRPr="00E31408">
        <w:rPr>
          <w:rFonts w:ascii="宋体" w:hAnsi="宋体" w:cs="宋体" w:hint="eastAsia"/>
          <w:sz w:val="21"/>
          <w:szCs w:val="21"/>
        </w:rPr>
        <w:t>提销售</w:t>
      </w:r>
      <w:proofErr w:type="gramEnd"/>
      <w:r w:rsidRPr="00E31408">
        <w:rPr>
          <w:rFonts w:ascii="宋体" w:hAnsi="宋体" w:cs="宋体" w:hint="eastAsia"/>
          <w:sz w:val="21"/>
          <w:szCs w:val="21"/>
        </w:rPr>
        <w:t>服务费，并不收取认购、申购费用的基金份额，称为C 类基金份额（其中，投资人通过直销机构认购、申购的C类基金份额不收取销售服务费；投资人通过直销机构以外的其他销售机构认购、申购</w:t>
      </w:r>
      <w:r w:rsidR="00131F9B" w:rsidRPr="00A7216A">
        <w:rPr>
          <w:rFonts w:ascii="宋体" w:hAnsi="宋体" w:cs="宋体" w:hint="eastAsia"/>
          <w:sz w:val="21"/>
          <w:szCs w:val="21"/>
        </w:rPr>
        <w:t>且持续持有期限超过一年（即365天）的</w:t>
      </w:r>
      <w:r w:rsidRPr="00E31408">
        <w:rPr>
          <w:rFonts w:ascii="宋体" w:hAnsi="宋体" w:cs="宋体" w:hint="eastAsia"/>
          <w:sz w:val="21"/>
          <w:szCs w:val="21"/>
        </w:rPr>
        <w:t>C类基金份额，将不再继续收取销售服务费）。</w:t>
      </w:r>
    </w:p>
    <w:p w14:paraId="63BACD5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本基金A类基金份额和C类基金份额分别设置代码。本基金A类基金份额和C类基金份额将分别计算基金份额净值，计算公式为计算日各类别基金资产净值除以计算日销售在外的该类别基金份额总数。</w:t>
      </w:r>
    </w:p>
    <w:p w14:paraId="1065549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投资者可自行选择认购、申购的基金份额类别。</w:t>
      </w:r>
    </w:p>
    <w:p w14:paraId="1A6BA6C3" w14:textId="2A49EC06"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在</w:t>
      </w:r>
      <w:r w:rsidR="00D66558">
        <w:rPr>
          <w:rFonts w:ascii="宋体" w:hAnsi="宋体" w:cs="宋体" w:hint="eastAsia"/>
          <w:sz w:val="21"/>
          <w:szCs w:val="21"/>
        </w:rPr>
        <w:t>不违反法律法规、基金合同的规定以及</w:t>
      </w:r>
      <w:r>
        <w:rPr>
          <w:rFonts w:ascii="宋体" w:hAnsi="宋体" w:cs="宋体"/>
          <w:sz w:val="21"/>
          <w:szCs w:val="21"/>
        </w:rPr>
        <w:t>对基金份额持有人利益无实质性不利影响的情况下，根据基金实际运作情况，在履行适当程序后，基金管理人经与基金托管人协商一致，可以增加本基金新的基金份额类别或者停止现有基金份额类别的销售等，此项调整无需召开基金份额持有人大会。</w:t>
      </w:r>
    </w:p>
    <w:p w14:paraId="2EE94242" w14:textId="77777777" w:rsidR="00401986" w:rsidRDefault="00B137D7">
      <w:pPr>
        <w:pStyle w:val="1"/>
        <w:keepLines/>
        <w:pageBreakBefore/>
        <w:widowControl w:val="0"/>
        <w:spacing w:before="210" w:after="0" w:line="360" w:lineRule="auto"/>
        <w:jc w:val="center"/>
        <w:rPr>
          <w:rFonts w:ascii="Times New Roman" w:eastAsia="Times New Roman" w:hAnsi="Times New Roman" w:cs="Times New Roman"/>
        </w:rPr>
      </w:pPr>
      <w:bookmarkStart w:id="5" w:name="_Toc256000003"/>
      <w:r>
        <w:rPr>
          <w:rFonts w:ascii="宋体" w:hAnsi="宋体" w:cs="宋体"/>
          <w:kern w:val="36"/>
          <w:sz w:val="24"/>
          <w:szCs w:val="24"/>
        </w:rPr>
        <w:lastRenderedPageBreak/>
        <w:t>第四部分 基金份额的发售</w:t>
      </w:r>
      <w:bookmarkEnd w:id="5"/>
    </w:p>
    <w:p w14:paraId="459FB964" w14:textId="77777777" w:rsidR="00401986" w:rsidRDefault="00401986">
      <w:pPr>
        <w:widowControl w:val="0"/>
        <w:spacing w:line="360" w:lineRule="auto"/>
        <w:jc w:val="both"/>
        <w:rPr>
          <w:rFonts w:ascii="宋体" w:hAnsi="宋体" w:cs="宋体"/>
          <w:sz w:val="21"/>
          <w:szCs w:val="21"/>
        </w:rPr>
      </w:pPr>
    </w:p>
    <w:p w14:paraId="1B97FBE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一、基金份额的发售时间、发售方式、发售对象</w:t>
      </w:r>
    </w:p>
    <w:p w14:paraId="30A6DCA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1、发售时间</w:t>
      </w:r>
    </w:p>
    <w:p w14:paraId="0C6CAEF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自基金份额发售之日起最长不得超过3个月，具体发售时间</w:t>
      </w:r>
      <w:proofErr w:type="gramStart"/>
      <w:r>
        <w:rPr>
          <w:rFonts w:ascii="宋体" w:hAnsi="宋体" w:cs="宋体"/>
          <w:sz w:val="21"/>
          <w:szCs w:val="21"/>
        </w:rPr>
        <w:t>见基金</w:t>
      </w:r>
      <w:proofErr w:type="gramEnd"/>
      <w:r>
        <w:rPr>
          <w:rFonts w:ascii="宋体" w:hAnsi="宋体" w:cs="宋体"/>
          <w:sz w:val="21"/>
          <w:szCs w:val="21"/>
        </w:rPr>
        <w:t>份额发售公告。</w:t>
      </w:r>
    </w:p>
    <w:p w14:paraId="4080221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2、发售方式</w:t>
      </w:r>
    </w:p>
    <w:p w14:paraId="0EA81A8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通过各销售机构的基金销售网</w:t>
      </w:r>
      <w:proofErr w:type="gramStart"/>
      <w:r>
        <w:rPr>
          <w:rFonts w:ascii="宋体" w:hAnsi="宋体" w:cs="宋体"/>
          <w:sz w:val="21"/>
          <w:szCs w:val="21"/>
        </w:rPr>
        <w:t>点公开</w:t>
      </w:r>
      <w:proofErr w:type="gramEnd"/>
      <w:r>
        <w:rPr>
          <w:rFonts w:ascii="宋体" w:hAnsi="宋体" w:cs="宋体"/>
          <w:sz w:val="21"/>
          <w:szCs w:val="21"/>
        </w:rPr>
        <w:t>发售，各销售机构的具体名单</w:t>
      </w:r>
      <w:proofErr w:type="gramStart"/>
      <w:r>
        <w:rPr>
          <w:rFonts w:ascii="宋体" w:hAnsi="宋体" w:cs="宋体"/>
          <w:sz w:val="21"/>
          <w:szCs w:val="21"/>
        </w:rPr>
        <w:t>见基</w:t>
      </w:r>
      <w:proofErr w:type="gramEnd"/>
      <w:r>
        <w:rPr>
          <w:rFonts w:ascii="宋体" w:hAnsi="宋体" w:cs="宋体"/>
          <w:sz w:val="21"/>
          <w:szCs w:val="21"/>
        </w:rPr>
        <w:t>金管理人披露的销售机构名录。</w:t>
      </w:r>
    </w:p>
    <w:p w14:paraId="620E8EE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3、发售对象</w:t>
      </w:r>
    </w:p>
    <w:p w14:paraId="638CEFE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符合法律法规规定的可投资于证券投资基金的个人投资者、机构投资者、合格境外投资者以及法律法规或中国证监会允许购买证券投资基金的其他投资人。</w:t>
      </w:r>
    </w:p>
    <w:p w14:paraId="30DD909F" w14:textId="70F07C51"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基金管理人可综合各种情况对本基金募集对象范围</w:t>
      </w:r>
      <w:r>
        <w:rPr>
          <w:rFonts w:ascii="宋体" w:hAnsi="宋体" w:cs="宋体" w:hint="eastAsia"/>
          <w:sz w:val="21"/>
          <w:szCs w:val="21"/>
        </w:rPr>
        <w:t>予以进一步限定</w:t>
      </w:r>
      <w:r>
        <w:rPr>
          <w:rFonts w:ascii="宋体" w:hAnsi="宋体" w:cs="宋体"/>
          <w:sz w:val="21"/>
          <w:szCs w:val="21"/>
        </w:rPr>
        <w:t>。本基金具体募集对象参见招募说明书、基金份额发售公告或其他相关公告。</w:t>
      </w:r>
    </w:p>
    <w:p w14:paraId="3F01F3B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二、基金份额的认购</w:t>
      </w:r>
    </w:p>
    <w:p w14:paraId="48EF5FB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1、认购费用</w:t>
      </w:r>
    </w:p>
    <w:p w14:paraId="2236C339" w14:textId="4EDCE1DE"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本基金A类基金份额的认购费率由基金管理人决定，并在招募说明书及基金产品资料概要中列示。本基金C类基金份额不收取认购费。</w:t>
      </w:r>
      <w:r>
        <w:rPr>
          <w:rFonts w:ascii="宋体" w:hAnsi="宋体" w:cs="宋体" w:hint="eastAsia"/>
          <w:sz w:val="21"/>
          <w:szCs w:val="21"/>
        </w:rPr>
        <w:t>本基金A类</w:t>
      </w:r>
      <w:r>
        <w:rPr>
          <w:rFonts w:ascii="宋体" w:hAnsi="宋体" w:cs="宋体"/>
          <w:sz w:val="21"/>
          <w:szCs w:val="21"/>
        </w:rPr>
        <w:t>基金</w:t>
      </w:r>
      <w:r>
        <w:rPr>
          <w:rFonts w:ascii="宋体" w:hAnsi="宋体" w:cs="宋体" w:hint="eastAsia"/>
          <w:sz w:val="21"/>
          <w:szCs w:val="21"/>
        </w:rPr>
        <w:t>份额的</w:t>
      </w:r>
      <w:r>
        <w:rPr>
          <w:rFonts w:ascii="宋体" w:hAnsi="宋体" w:cs="宋体"/>
          <w:sz w:val="21"/>
          <w:szCs w:val="21"/>
        </w:rPr>
        <w:t>认购费用不列入基金财产。</w:t>
      </w:r>
    </w:p>
    <w:p w14:paraId="29EC24D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2、募集期利息的处理方式</w:t>
      </w:r>
    </w:p>
    <w:p w14:paraId="634E42B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有效认购款项在募集期间产生的利息将折算为</w:t>
      </w:r>
      <w:r>
        <w:rPr>
          <w:rFonts w:ascii="宋体" w:hAnsi="宋体" w:cs="宋体" w:hint="eastAsia"/>
          <w:sz w:val="21"/>
          <w:szCs w:val="21"/>
        </w:rPr>
        <w:t>相应类别</w:t>
      </w:r>
      <w:r>
        <w:rPr>
          <w:rFonts w:ascii="宋体" w:hAnsi="宋体" w:cs="宋体"/>
          <w:sz w:val="21"/>
          <w:szCs w:val="21"/>
        </w:rPr>
        <w:t>基金份额</w:t>
      </w:r>
      <w:proofErr w:type="gramStart"/>
      <w:r>
        <w:rPr>
          <w:rFonts w:ascii="宋体" w:hAnsi="宋体" w:cs="宋体"/>
          <w:sz w:val="21"/>
          <w:szCs w:val="21"/>
        </w:rPr>
        <w:t>归基金</w:t>
      </w:r>
      <w:proofErr w:type="gramEnd"/>
      <w:r>
        <w:rPr>
          <w:rFonts w:ascii="宋体" w:hAnsi="宋体" w:cs="宋体"/>
          <w:sz w:val="21"/>
          <w:szCs w:val="21"/>
        </w:rPr>
        <w:t>份额持有人所有，其中利息转份额以登记机构的记录为准。</w:t>
      </w:r>
    </w:p>
    <w:p w14:paraId="4C6254E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3、基金认购份额的计算</w:t>
      </w:r>
    </w:p>
    <w:p w14:paraId="7360D7E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基金认购份额具体的计算方法在招募说明书中列示。</w:t>
      </w:r>
    </w:p>
    <w:p w14:paraId="6547573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4、认购份额余额的处理方式</w:t>
      </w:r>
    </w:p>
    <w:p w14:paraId="7CE8B4F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认购份额的计算保留到小数点后2位，小数点2位以后的部分四舍五入，由此误差产生的收益或损失由基金财产承担。</w:t>
      </w:r>
    </w:p>
    <w:p w14:paraId="06732A1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5、认购申请的确认</w:t>
      </w:r>
    </w:p>
    <w:p w14:paraId="0B23985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销售机构对认购申请的受理并不代表该申请一定成功，而仅代表销售机构确实接收到认购申请。认购</w:t>
      </w:r>
      <w:r>
        <w:rPr>
          <w:rFonts w:ascii="宋体" w:hAnsi="宋体" w:cs="宋体" w:hint="eastAsia"/>
          <w:sz w:val="21"/>
          <w:szCs w:val="21"/>
        </w:rPr>
        <w:t>申请</w:t>
      </w:r>
      <w:r>
        <w:rPr>
          <w:rFonts w:ascii="宋体" w:hAnsi="宋体" w:cs="宋体"/>
          <w:sz w:val="21"/>
          <w:szCs w:val="21"/>
        </w:rPr>
        <w:t>的确认以登记机构或基金管理人的确认结果为准。对于认购申请及认购份额的确认情况，投资人可及时查询并妥善行使合法权利。</w:t>
      </w:r>
    </w:p>
    <w:p w14:paraId="6F981A7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三、基金份额认购数量的限制</w:t>
      </w:r>
    </w:p>
    <w:p w14:paraId="393C57C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1、投资人认购时，需按销售机构规定的方式全额缴款。</w:t>
      </w:r>
    </w:p>
    <w:p w14:paraId="5AFFE2E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2、基金管理人可以对每个基金交易账户的单笔最低认购金额进行限制，具体限制请参</w:t>
      </w:r>
      <w:r>
        <w:rPr>
          <w:rFonts w:ascii="宋体" w:hAnsi="宋体" w:cs="宋体"/>
          <w:sz w:val="21"/>
          <w:szCs w:val="21"/>
        </w:rPr>
        <w:lastRenderedPageBreak/>
        <w:t>看招募说明书或相关公告。</w:t>
      </w:r>
    </w:p>
    <w:p w14:paraId="25AFA21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3、基金管理人可以对募集期间的单个投资人的累计认购金额进行限制，具体限制和处理方法请参看招募说明书或相关公告。</w:t>
      </w:r>
    </w:p>
    <w:p w14:paraId="5DE90ED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4、投资人在募集期内可以多次认购基金份额，但已受理的认购申请不允许撤销。</w:t>
      </w:r>
    </w:p>
    <w:p w14:paraId="50EBFFF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5、如果募集期限届满，单一投资者认购基金份额比例达到或者超过50%，基金管理人有权全部或部分拒绝该投资者的认购申请，以确保其持有基金份额比例低于50%，并于10个工作日内返还相应款项。</w:t>
      </w:r>
    </w:p>
    <w:p w14:paraId="08C76BBE" w14:textId="77777777" w:rsidR="00401986" w:rsidRDefault="00B137D7">
      <w:pPr>
        <w:pStyle w:val="1"/>
        <w:keepLines/>
        <w:pageBreakBefore/>
        <w:widowControl w:val="0"/>
        <w:spacing w:before="0" w:after="0" w:line="360" w:lineRule="auto"/>
        <w:jc w:val="center"/>
        <w:rPr>
          <w:rFonts w:ascii="Times New Roman" w:eastAsia="Times New Roman" w:hAnsi="Times New Roman" w:cs="Times New Roman"/>
        </w:rPr>
      </w:pPr>
      <w:bookmarkStart w:id="6" w:name="_Toc256000004"/>
      <w:r>
        <w:rPr>
          <w:rFonts w:ascii="宋体" w:hAnsi="宋体" w:cs="宋体"/>
          <w:kern w:val="36"/>
          <w:sz w:val="24"/>
          <w:szCs w:val="24"/>
        </w:rPr>
        <w:lastRenderedPageBreak/>
        <w:t>第五部分 基金备案</w:t>
      </w:r>
      <w:bookmarkEnd w:id="6"/>
    </w:p>
    <w:p w14:paraId="657D16A9" w14:textId="77777777" w:rsidR="00401986" w:rsidRDefault="00401986">
      <w:pPr>
        <w:widowControl w:val="0"/>
        <w:spacing w:line="360" w:lineRule="auto"/>
        <w:jc w:val="both"/>
        <w:rPr>
          <w:rFonts w:ascii="宋体" w:hAnsi="宋体" w:cs="宋体"/>
          <w:sz w:val="21"/>
          <w:szCs w:val="21"/>
        </w:rPr>
      </w:pPr>
    </w:p>
    <w:p w14:paraId="0ADB4BE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一、基金备案的条件</w:t>
      </w:r>
    </w:p>
    <w:p w14:paraId="19FBB61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本基金自基金份额发售之日起3个月内，在基金募集份额总额不少于2亿份，基金募集金额不少于2亿元人民币</w:t>
      </w:r>
      <w:proofErr w:type="gramStart"/>
      <w:r>
        <w:rPr>
          <w:rFonts w:ascii="宋体" w:hAnsi="宋体" w:cs="宋体"/>
          <w:sz w:val="21"/>
          <w:szCs w:val="21"/>
        </w:rPr>
        <w:t>且基金</w:t>
      </w:r>
      <w:proofErr w:type="gramEnd"/>
      <w:r>
        <w:rPr>
          <w:rFonts w:ascii="宋体" w:hAnsi="宋体" w:cs="宋体"/>
          <w:sz w:val="21"/>
          <w:szCs w:val="21"/>
        </w:rPr>
        <w:t>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6885234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6A88C2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二、基金合同不能生效时募集资金的处理方式</w:t>
      </w:r>
    </w:p>
    <w:p w14:paraId="1B168B9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如果募集期限届满，未满足基金备案条件，基金管理人应当承担下列责任：</w:t>
      </w:r>
    </w:p>
    <w:p w14:paraId="4AF4FEC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1、以其固有财产承担因募集行为而产生的债务和费用；</w:t>
      </w:r>
    </w:p>
    <w:p w14:paraId="33DE447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2、在基金募集期限届满后30日内返还投资者已交纳的款项，并加计银行同期活期存款利息；</w:t>
      </w:r>
    </w:p>
    <w:p w14:paraId="70F4BFC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3、如基金募集失败，基金管理人、基金托管人及销售机构不得请求报酬。基金管理人、基金托管人和销售机构为基金募集支付之一切费用应由各方各自承担。</w:t>
      </w:r>
    </w:p>
    <w:p w14:paraId="786EF50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三、基金存续期内的基金份额持有人数量和资产规模</w:t>
      </w:r>
    </w:p>
    <w:p w14:paraId="53BA5053" w14:textId="2F2AC475"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基金合同》生效后，连续20个工作日出现基金份额持有人数量不满200人或者基金资产净值低于5000万元情形的，基金管理人应当在定期报告中予以披露；连续50个工作日出现前述情形的，基金合同终止，不需召开基金份额持有人大会审议。</w:t>
      </w:r>
    </w:p>
    <w:p w14:paraId="2DA8711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法律法规或中国证监会另有规定时，从其规定。</w:t>
      </w:r>
    </w:p>
    <w:p w14:paraId="32068F1D" w14:textId="77777777" w:rsidR="00401986" w:rsidRDefault="00B137D7">
      <w:pPr>
        <w:pStyle w:val="1"/>
        <w:keepLines/>
        <w:pageBreakBefore/>
        <w:widowControl w:val="0"/>
        <w:spacing w:before="210" w:after="0" w:line="360" w:lineRule="auto"/>
        <w:jc w:val="center"/>
        <w:rPr>
          <w:rFonts w:ascii="Times New Roman" w:eastAsia="Times New Roman" w:hAnsi="Times New Roman" w:cs="Times New Roman"/>
        </w:rPr>
      </w:pPr>
      <w:bookmarkStart w:id="7" w:name="_Toc256000005"/>
      <w:r>
        <w:rPr>
          <w:rFonts w:ascii="宋体" w:hAnsi="宋体" w:cs="宋体"/>
          <w:kern w:val="36"/>
          <w:sz w:val="24"/>
          <w:szCs w:val="24"/>
        </w:rPr>
        <w:lastRenderedPageBreak/>
        <w:t>第六部分 基金份额的申购与赎回</w:t>
      </w:r>
      <w:bookmarkEnd w:id="7"/>
    </w:p>
    <w:p w14:paraId="40AD21A1" w14:textId="77777777" w:rsidR="00401986" w:rsidRDefault="00401986">
      <w:pPr>
        <w:widowControl w:val="0"/>
        <w:spacing w:line="360" w:lineRule="auto"/>
        <w:jc w:val="both"/>
        <w:rPr>
          <w:rFonts w:ascii="宋体" w:hAnsi="宋体" w:cs="宋体"/>
          <w:sz w:val="21"/>
          <w:szCs w:val="21"/>
        </w:rPr>
      </w:pPr>
    </w:p>
    <w:p w14:paraId="4CEFEC0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一、申购和赎回场所</w:t>
      </w:r>
    </w:p>
    <w:p w14:paraId="2B3E16B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本基金的申购与赎回将通过销售机构进行。具体的销售机构将由基金管理人在招募说明书或其他相</w:t>
      </w:r>
      <w:proofErr w:type="gramStart"/>
      <w:r>
        <w:rPr>
          <w:rFonts w:ascii="宋体" w:hAnsi="宋体" w:cs="宋体"/>
          <w:sz w:val="21"/>
          <w:szCs w:val="21"/>
        </w:rPr>
        <w:t>关公示中列明</w:t>
      </w:r>
      <w:proofErr w:type="gramEnd"/>
      <w:r>
        <w:rPr>
          <w:rFonts w:ascii="宋体" w:hAnsi="宋体" w:cs="宋体"/>
          <w:sz w:val="21"/>
          <w:szCs w:val="21"/>
        </w:rPr>
        <w:t>。基金管理人可根据情况变更或增减销售机构，并在基金管理人网站公示。基金投资者应当在销售机构办理基金销售业务的营业场所或按销售机构提供的其他方式办理基金份额的申购与赎回。</w:t>
      </w:r>
    </w:p>
    <w:p w14:paraId="07FA4C5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二、申购和赎回的开放日及时间</w:t>
      </w:r>
    </w:p>
    <w:p w14:paraId="284F61A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1、开放日及开放时间</w:t>
      </w:r>
    </w:p>
    <w:p w14:paraId="0860FD9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0BEC26E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14:paraId="7D9D181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2、申购、赎回开始日及业务办理时间</w:t>
      </w:r>
    </w:p>
    <w:p w14:paraId="0EB363E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基金管理人可以根据实际情况依法决定本基金开始办理申购的具体日期，具体业务办理时间在相关公告中规定。</w:t>
      </w:r>
    </w:p>
    <w:p w14:paraId="130CA4D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基金管理人自认购份额的最短持有期到期日之日起（含当日）开始办理赎回，具体业务办理时间在赎回开始公告中规定。对于每份基金份额，仅在最短持有期到期日后（含当日），基金份额持有人可就该基金份额提出赎回或转换转出申请。如果投资人多次申购本基金，则其持有的每一份基金份额的最短持有期到期日可能不同。因本基金红利再投资所生成的基金份额的最短持有</w:t>
      </w:r>
      <w:proofErr w:type="gramStart"/>
      <w:r>
        <w:rPr>
          <w:rFonts w:ascii="宋体" w:hAnsi="宋体" w:cs="宋体" w:hint="eastAsia"/>
          <w:sz w:val="21"/>
          <w:szCs w:val="21"/>
        </w:rPr>
        <w:t>期按照</w:t>
      </w:r>
      <w:proofErr w:type="gramEnd"/>
      <w:r>
        <w:rPr>
          <w:rFonts w:ascii="宋体" w:hAnsi="宋体" w:cs="宋体" w:hint="eastAsia"/>
          <w:sz w:val="21"/>
          <w:szCs w:val="21"/>
        </w:rPr>
        <w:t>本基金合同第十六部分的约定另行计算</w:t>
      </w:r>
      <w:r>
        <w:rPr>
          <w:rFonts w:ascii="宋体" w:hAnsi="宋体" w:cs="宋体"/>
          <w:sz w:val="21"/>
          <w:szCs w:val="21"/>
        </w:rPr>
        <w:t>。</w:t>
      </w:r>
    </w:p>
    <w:p w14:paraId="671D3CC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在确定申购开始与赎回开始时间后，基金管理人应依照《信息披露办法》的有关规定在规定媒介上公告申购与赎回的开始时间。</w:t>
      </w:r>
    </w:p>
    <w:p w14:paraId="67B1624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基金管理人不得在基金合同约定之外的日期或者时间办理基金份额的申购、赎回或者转换。投资人在基金合同约定之外的日期和时间提出申购、赎回或转换申请</w:t>
      </w:r>
      <w:proofErr w:type="gramStart"/>
      <w:r>
        <w:rPr>
          <w:rFonts w:ascii="宋体" w:hAnsi="宋体" w:cs="宋体"/>
          <w:sz w:val="21"/>
          <w:szCs w:val="21"/>
        </w:rPr>
        <w:t>且登记</w:t>
      </w:r>
      <w:proofErr w:type="gramEnd"/>
      <w:r>
        <w:rPr>
          <w:rFonts w:ascii="宋体" w:hAnsi="宋体" w:cs="宋体"/>
          <w:sz w:val="21"/>
          <w:szCs w:val="21"/>
        </w:rPr>
        <w:t>机构确认接受的，其基金份额申购、赎回价格为下一开放日该类基金份额申购、赎回的价格。</w:t>
      </w:r>
    </w:p>
    <w:p w14:paraId="1B1327C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三、申购与赎回的原则</w:t>
      </w:r>
    </w:p>
    <w:p w14:paraId="48EA317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1、“未知价”原则，即申购、赎回价格以申请当日收市后计算的各类基金份额净值为基准进行计算；</w:t>
      </w:r>
    </w:p>
    <w:p w14:paraId="5B79A90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2、“金额申购、份额赎回”原则，即申购以金额申请，赎回以份额申请；</w:t>
      </w:r>
    </w:p>
    <w:p w14:paraId="655768B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3、当日的申购与赎回申请可以在基金管理人规定的时间以内撤销；</w:t>
      </w:r>
    </w:p>
    <w:p w14:paraId="6558D3C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lastRenderedPageBreak/>
        <w:t>4、赎回遵循“先进先出”原则，即按照投资人认购、申购的先后次序进行顺序赎回；</w:t>
      </w:r>
    </w:p>
    <w:p w14:paraId="1BC2367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5、办理申购、赎回业务时，应当遵循基金份额持有人利益优先原则，确保投资者的合法权益不受损害并得到公平对待。</w:t>
      </w:r>
    </w:p>
    <w:p w14:paraId="04B048A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基金管理人可在法律法规允许的情况下，对上述原则进行调整。基金管理人必须在新规则开始实施前依照《信息披露办法》的有关规定在规定媒介上公告。</w:t>
      </w:r>
    </w:p>
    <w:p w14:paraId="79DFE4D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四、申购与赎回的程序</w:t>
      </w:r>
    </w:p>
    <w:p w14:paraId="1D5AF27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1、申购和赎回的申请方式</w:t>
      </w:r>
    </w:p>
    <w:p w14:paraId="4514512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投资人必须根据销售机构规定的程序，在开放日的具体业务办理时间内提出申购或赎回的申请。</w:t>
      </w:r>
    </w:p>
    <w:p w14:paraId="3779955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2、申购和赎回的款项支付</w:t>
      </w:r>
    </w:p>
    <w:p w14:paraId="4E63EEF8" w14:textId="3CB2507B"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投资人申购基金份额时，必须全额交付申购款项，投资人交付申购款项，申购成立；基金份额登记机构确认基金份额时，申购生效。若资金在规定时间内未全额到账则申购不成立，申购款项将退回投资人账户。</w:t>
      </w:r>
    </w:p>
    <w:p w14:paraId="6AD3864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份额持有人递交赎回申请，赎回成立；基金份额登记机构确认赎回时，赎回生效。投资者赎回申请生效后，基金管理人将在T＋7日（包括该日）内支付赎回款项。在发生巨额赎回、本基金合同载明的暂停赎回或其他延缓支付赎回款项的情形时，款项的支付办法参照本基金合同有关条款处理。</w:t>
      </w:r>
    </w:p>
    <w:p w14:paraId="4FD3E22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3、申购和赎回申请的确认</w:t>
      </w:r>
    </w:p>
    <w:p w14:paraId="0E97FC9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应以交易时间结束前受理有效申购和赎回申请的当天作为申购或赎回申请日（T日），在正常情况下，本基金登记机构在T+1日内对该交易的有效性进行确认。T日提交的有效申请，投资人可在T+2日后（包括该日）到销售网点柜台或以销售机构规定的其他方式查询申请的确认情况。若申购不成功，则申购款项退还给投资人。</w:t>
      </w:r>
    </w:p>
    <w:p w14:paraId="77C0E69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销售机构对申购、赎回申请的受理并不代表申请一定成功，而仅代表销售机构确实接收到申请。申购、赎回申请的确认以登记机构的确认结果为准。对于申请的确认情况，投资人应及时查询并妥善行使合法权利。</w:t>
      </w:r>
    </w:p>
    <w:p w14:paraId="3E5B3D9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基金管理人在不违反法律法规的前提下，可对上述程序规则进行调整。基金管理人应依照《信息披露办法》的有关规定在规定媒介上公告。</w:t>
      </w:r>
    </w:p>
    <w:p w14:paraId="4D56CB1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五、申购和赎回的数量限制</w:t>
      </w:r>
    </w:p>
    <w:p w14:paraId="15BAB15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1、基金管理人可以规定投资人首次申购和每次申购的最低金额、最高金额以及每次赎回的最低份额，具体规定请参见招募说明书或相关公告。</w:t>
      </w:r>
    </w:p>
    <w:p w14:paraId="3631101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2、基金管理人可以规定投资人每个基金交易账户的最低基金份额余额，具体规定请参见招募说明书或相关公告。</w:t>
      </w:r>
    </w:p>
    <w:p w14:paraId="134448B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3、基金管理人可以规定单个投资人累计持有的基金份额上限，具体规定请参见招募说明书或相关公告。</w:t>
      </w:r>
    </w:p>
    <w:p w14:paraId="3DA7151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lastRenderedPageBreak/>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ascii="宋体" w:hAnsi="宋体" w:cs="宋体"/>
          <w:sz w:val="21"/>
          <w:szCs w:val="21"/>
        </w:rPr>
        <w:t>见基金</w:t>
      </w:r>
      <w:proofErr w:type="gramEnd"/>
      <w:r>
        <w:rPr>
          <w:rFonts w:ascii="宋体" w:hAnsi="宋体" w:cs="宋体"/>
          <w:sz w:val="21"/>
          <w:szCs w:val="21"/>
        </w:rPr>
        <w:t>管理人相关公告。</w:t>
      </w:r>
    </w:p>
    <w:p w14:paraId="4DE1B19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5、基金管理人可以根据市场情况，在法律法规允许的情况下，调整上述规定申购金额和赎回份额的数量限制。基金管理人必须依照《信息披露办法》的有关规定在规定媒介上公告。</w:t>
      </w:r>
    </w:p>
    <w:p w14:paraId="666675D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六、申购和赎回的价格、费用及其用途</w:t>
      </w:r>
    </w:p>
    <w:p w14:paraId="03C4D69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本基金各类基金份额净值的计算，均保留到小数点后4位，小数点后第5位四舍五入，由此产生的收益或损失由基金财产承担。T日的各类基金份额净值在当天收市后计算，并在T+1日内公告。遇特殊情况，经履行适当程序，可以适当延迟计算或公告。</w:t>
      </w:r>
    </w:p>
    <w:p w14:paraId="31681107" w14:textId="1FC65D52"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2、申购份额的计算及余额的处理方式：本基金申购份额的计算详见《招募说明书》。</w:t>
      </w:r>
      <w:r w:rsidR="0059595A" w:rsidRPr="0059595A">
        <w:rPr>
          <w:rFonts w:ascii="宋体" w:hAnsi="宋体" w:cs="宋体" w:hint="eastAsia"/>
          <w:sz w:val="21"/>
          <w:szCs w:val="21"/>
        </w:rPr>
        <w:t>通过直销机构申购本基金A类基金份额不收取申购费，通过其他销售机构申购</w:t>
      </w:r>
      <w:r>
        <w:rPr>
          <w:rFonts w:ascii="宋体" w:hAnsi="宋体" w:cs="宋体"/>
          <w:sz w:val="21"/>
          <w:szCs w:val="21"/>
        </w:rPr>
        <w:t>A类基金份额的申购费率由基金管理人决定，并在招募说明书及基金产品资料概要中列示。本基金C类基金份额不收取申购费。申购的有效份额为净申购金额除以当日的该类基金份额净值，有效份额单位为份，上述计算结果均按四舍五入方法，保留到小数点后2位，由此产生的收益或损失由基金财产承担。</w:t>
      </w:r>
    </w:p>
    <w:p w14:paraId="006214A9" w14:textId="737F7516"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赎回金额的计算及处理方式：本基金赎回金额的计算详见《招募说明书》。本基金的赎回费率由基金管理人决定，并在招募说明书及基金产品资料概要中列示。赎回金额为按实际确认的有效赎回份额乘以当日该类基金份额净值并扣除</w:t>
      </w:r>
      <w:r w:rsidR="0068295B">
        <w:rPr>
          <w:rFonts w:ascii="宋体" w:hAnsi="宋体" w:cs="宋体" w:hint="eastAsia"/>
          <w:sz w:val="21"/>
          <w:szCs w:val="21"/>
        </w:rPr>
        <w:t>或</w:t>
      </w:r>
      <w:r w:rsidR="00FE4B92">
        <w:rPr>
          <w:rFonts w:ascii="宋体" w:hAnsi="宋体" w:cs="宋体"/>
          <w:sz w:val="21"/>
          <w:szCs w:val="21"/>
        </w:rPr>
        <w:t>返还</w:t>
      </w:r>
      <w:r>
        <w:rPr>
          <w:rFonts w:ascii="宋体" w:hAnsi="宋体" w:cs="宋体"/>
          <w:sz w:val="21"/>
          <w:szCs w:val="21"/>
        </w:rPr>
        <w:t>相应的费用，赎回金额单位为元。上述计算结果均按四舍五入方法，保留到小数点后2位，由此产生的收益或损失由基金财产承担。</w:t>
      </w:r>
    </w:p>
    <w:p w14:paraId="4DBF4613" w14:textId="49E0336F"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w:t>
      </w:r>
      <w:r w:rsidR="0059595A" w:rsidRPr="0059595A">
        <w:rPr>
          <w:rFonts w:ascii="宋体" w:hAnsi="宋体" w:cs="宋体" w:hint="eastAsia"/>
          <w:sz w:val="21"/>
          <w:szCs w:val="21"/>
        </w:rPr>
        <w:t>通过直销机构申购本基金A类基金份额不收取申购费，通过其他销售机构申购A类基金份额的</w:t>
      </w:r>
      <w:r>
        <w:rPr>
          <w:rFonts w:ascii="宋体" w:hAnsi="宋体" w:cs="宋体"/>
          <w:sz w:val="21"/>
          <w:szCs w:val="21"/>
        </w:rPr>
        <w:t>申购费用由申购A类基金份额的投资人承担，不列入基金财产。本基金C类基金份额不收取申购费。</w:t>
      </w:r>
    </w:p>
    <w:p w14:paraId="3DF026F6" w14:textId="7BBBB331"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5、赎回费用由赎回基金份额的基金份额持有人承担，在基金份额持有人赎回基金份额时收取。</w:t>
      </w:r>
      <w:r w:rsidR="0059595A" w:rsidRPr="0059595A">
        <w:rPr>
          <w:rFonts w:ascii="宋体" w:hAnsi="宋体" w:cs="宋体" w:hint="eastAsia"/>
          <w:sz w:val="21"/>
          <w:szCs w:val="21"/>
        </w:rPr>
        <w:t>赎回费用全额计入基金财产</w:t>
      </w:r>
      <w:r>
        <w:rPr>
          <w:rFonts w:ascii="宋体" w:hAnsi="宋体" w:cs="宋体"/>
          <w:sz w:val="21"/>
          <w:szCs w:val="21"/>
        </w:rPr>
        <w:t>。</w:t>
      </w:r>
    </w:p>
    <w:p w14:paraId="41138E59" w14:textId="3DD71450"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6、本基金的</w:t>
      </w:r>
      <w:r>
        <w:rPr>
          <w:rFonts w:ascii="宋体" w:hAnsi="宋体" w:cs="宋体" w:hint="eastAsia"/>
          <w:sz w:val="21"/>
          <w:szCs w:val="21"/>
        </w:rPr>
        <w:t>A类基金份额的</w:t>
      </w:r>
      <w:r>
        <w:rPr>
          <w:rFonts w:ascii="宋体" w:hAnsi="宋体" w:cs="宋体"/>
          <w:sz w:val="21"/>
          <w:szCs w:val="21"/>
        </w:rPr>
        <w:t>申购费率、</w:t>
      </w:r>
      <w:r>
        <w:rPr>
          <w:rFonts w:ascii="宋体" w:hAnsi="宋体" w:cs="宋体" w:hint="eastAsia"/>
          <w:sz w:val="21"/>
          <w:szCs w:val="21"/>
        </w:rPr>
        <w:t>A类基金份额和C类基金份额的</w:t>
      </w:r>
      <w:r>
        <w:rPr>
          <w:rFonts w:ascii="宋体" w:hAnsi="宋体" w:cs="宋体"/>
          <w:sz w:val="21"/>
          <w:szCs w:val="21"/>
        </w:rPr>
        <w:t>申购份额具体的计算方法、赎回费率、赎回金额具体的计算方法和收费方式由基金管理人根据基金合同的规定确定，并在招募说明书中列示。基金管理人可以在基金合同约定的范围内调整费率或收费方式，并依照《信息披露办法》的有关规定在规定媒介上公告。</w:t>
      </w:r>
    </w:p>
    <w:p w14:paraId="2648C426" w14:textId="15BB4F3E" w:rsidR="00401986" w:rsidRDefault="003D099C">
      <w:pPr>
        <w:widowControl w:val="0"/>
        <w:spacing w:line="360" w:lineRule="auto"/>
        <w:ind w:firstLine="420"/>
        <w:jc w:val="both"/>
        <w:rPr>
          <w:rFonts w:ascii="宋体" w:hAnsi="宋体" w:cs="宋体"/>
          <w:sz w:val="21"/>
          <w:szCs w:val="21"/>
        </w:rPr>
      </w:pPr>
      <w:r>
        <w:rPr>
          <w:rFonts w:ascii="宋体" w:hAnsi="宋体" w:cs="宋体" w:hint="eastAsia"/>
          <w:sz w:val="21"/>
          <w:szCs w:val="21"/>
        </w:rPr>
        <w:t>7</w:t>
      </w:r>
      <w:r w:rsidR="00B137D7">
        <w:rPr>
          <w:rFonts w:ascii="宋体" w:hAnsi="宋体" w:cs="宋体"/>
          <w:sz w:val="21"/>
          <w:szCs w:val="21"/>
        </w:rPr>
        <w:t>、基金管理人可以在不违反法律法规规定及基金合同约定的</w:t>
      </w:r>
      <w:proofErr w:type="gramStart"/>
      <w:r w:rsidR="00B137D7">
        <w:rPr>
          <w:rFonts w:ascii="宋体" w:hAnsi="宋体" w:cs="宋体"/>
          <w:sz w:val="21"/>
          <w:szCs w:val="21"/>
        </w:rPr>
        <w:t>情形下且对</w:t>
      </w:r>
      <w:proofErr w:type="gramEnd"/>
      <w:r w:rsidR="00B137D7">
        <w:rPr>
          <w:rFonts w:ascii="宋体" w:hAnsi="宋体" w:cs="宋体"/>
          <w:sz w:val="21"/>
          <w:szCs w:val="21"/>
        </w:rPr>
        <w:t>基金份额持有人利益无实质性不利影响的前提下，根据市场情况制定基金促销计划，针对投资人定期或不定期地开展基金促销活动。在基金促销活动期间，基金管理人可以适当调低基金申购费</w:t>
      </w:r>
      <w:r w:rsidR="00B137D7">
        <w:rPr>
          <w:rFonts w:ascii="宋体" w:hAnsi="宋体" w:cs="宋体"/>
          <w:sz w:val="21"/>
          <w:szCs w:val="21"/>
        </w:rPr>
        <w:lastRenderedPageBreak/>
        <w:t>率和基金销售服务费率。</w:t>
      </w:r>
    </w:p>
    <w:p w14:paraId="5099BB26" w14:textId="4DDBAE00" w:rsidR="00401986" w:rsidRDefault="00A316ED">
      <w:pPr>
        <w:widowControl w:val="0"/>
        <w:spacing w:line="360" w:lineRule="auto"/>
        <w:ind w:firstLine="420"/>
        <w:jc w:val="both"/>
        <w:rPr>
          <w:rFonts w:ascii="宋体" w:hAnsi="宋体" w:cs="宋体"/>
          <w:sz w:val="21"/>
          <w:szCs w:val="21"/>
        </w:rPr>
      </w:pPr>
      <w:r>
        <w:rPr>
          <w:rFonts w:ascii="宋体" w:hAnsi="宋体" w:cs="宋体"/>
          <w:sz w:val="21"/>
          <w:szCs w:val="21"/>
        </w:rPr>
        <w:t>8</w:t>
      </w:r>
      <w:r w:rsidR="00B137D7">
        <w:rPr>
          <w:rFonts w:ascii="宋体" w:hAnsi="宋体" w:cs="宋体"/>
          <w:sz w:val="21"/>
          <w:szCs w:val="21"/>
        </w:rPr>
        <w:t>、当本基金发生大额申购或赎回情形时，基金管理人可以采用摆动定价机制，以确保基金估值的公平性。具体处理原则与操作规范遵循相关法律法规以及监管部门、自律规则的规定。</w:t>
      </w:r>
    </w:p>
    <w:p w14:paraId="34AD766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七、拒绝或暂停申购的情形</w:t>
      </w:r>
    </w:p>
    <w:p w14:paraId="7DA304F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发生下列情况时，基金管理人可拒绝或暂停接受投资人的申购申请：</w:t>
      </w:r>
    </w:p>
    <w:p w14:paraId="720315A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1、因不可抗力导致基金无法正常运作。</w:t>
      </w:r>
    </w:p>
    <w:p w14:paraId="7B62AD4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2、发生基金合同规定的暂停基金资产估值情况时，基金管理人可暂停接受投资人的申购申请。</w:t>
      </w:r>
    </w:p>
    <w:p w14:paraId="139DDE7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3、证券/期货交易所交易时间非正常停市，导致基金管理人无法计算当日基金资产净值或无法进行证券交易。</w:t>
      </w:r>
    </w:p>
    <w:p w14:paraId="2A6BA60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4、接受某笔或某些申购申请可能会影响或损害现有基金份额持有人利益时。</w:t>
      </w:r>
    </w:p>
    <w:p w14:paraId="7ECD935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5、基金资产规模过大，使基金管理人无法找到合适的投资品种，或其他可能对基金业绩产生负面影响，或发生其他损害现有基金份额持有人利益的情形。</w:t>
      </w:r>
    </w:p>
    <w:p w14:paraId="2F99616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6、当前一估值日基金资产净值50%以上的资产出现无可参考的活跃市场价格且采用估值技术</w:t>
      </w:r>
      <w:proofErr w:type="gramStart"/>
      <w:r>
        <w:rPr>
          <w:rFonts w:ascii="宋体" w:hAnsi="宋体" w:cs="宋体"/>
          <w:sz w:val="21"/>
          <w:szCs w:val="21"/>
        </w:rPr>
        <w:t>仍导致</w:t>
      </w:r>
      <w:proofErr w:type="gramEnd"/>
      <w:r>
        <w:rPr>
          <w:rFonts w:ascii="宋体" w:hAnsi="宋体" w:cs="宋体"/>
          <w:sz w:val="21"/>
          <w:szCs w:val="21"/>
        </w:rPr>
        <w:t>公允价值存在重大不确定性时，经与基金托管人协商确认后，基金管理人应当暂停接受基金申购申请。</w:t>
      </w:r>
    </w:p>
    <w:p w14:paraId="2A3B1B5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7、基金管理人接受某笔或者某些申购申请有可能导致单一投资者持有基金份额的比例达到或者超过50%，或者变相规避50%集中度的情形。</w:t>
      </w:r>
    </w:p>
    <w:p w14:paraId="3895A24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8、法律法规规定或中国证监会认定的其他情形。</w:t>
      </w:r>
    </w:p>
    <w:p w14:paraId="5F7FD31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发生上述第1、2、3、5、6、8项暂停申购情形之一</w:t>
      </w:r>
      <w:proofErr w:type="gramStart"/>
      <w:r>
        <w:rPr>
          <w:rFonts w:ascii="宋体" w:hAnsi="宋体" w:cs="宋体"/>
          <w:sz w:val="21"/>
          <w:szCs w:val="21"/>
        </w:rPr>
        <w:t>且基金</w:t>
      </w:r>
      <w:proofErr w:type="gramEnd"/>
      <w:r>
        <w:rPr>
          <w:rFonts w:ascii="宋体" w:hAnsi="宋体" w:cs="宋体"/>
          <w:sz w:val="21"/>
          <w:szCs w:val="21"/>
        </w:rPr>
        <w:t>管理人决定暂停接受投资人申购申请时，基金管理人应当根据有关规定在规定媒介上刊登暂停申购公告。如果投资人的申购申请被全部或部分拒绝的，被拒绝的申购款项将退还给投资人。在暂停申购的情况消除时，基金管理人应及时恢复申购业务的办理。</w:t>
      </w:r>
    </w:p>
    <w:p w14:paraId="45D2DE6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八、暂停赎回或延缓支付赎回款项的情形</w:t>
      </w:r>
    </w:p>
    <w:p w14:paraId="45AAA0E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发生下列情形时，基金管理人可暂停接受投资人的赎回申请或延缓支付赎回款项：</w:t>
      </w:r>
    </w:p>
    <w:p w14:paraId="3DEACFE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1、因不可抗力导致基金管理人不能支付赎回款项。</w:t>
      </w:r>
    </w:p>
    <w:p w14:paraId="7437780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2、发生基金合同规定的暂停基金资产估值情况时，基金管理人可暂停接受投资人的赎回申请或延缓支付赎回款项。</w:t>
      </w:r>
    </w:p>
    <w:p w14:paraId="0F05C3C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3、证券/期货交易所交易时间非正常停市，导致基金管理人无法计算当日基金资产净值或无法进行证券交易。</w:t>
      </w:r>
    </w:p>
    <w:p w14:paraId="6B3535C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4、连续两个或两个以上开放日发生巨额赎回。</w:t>
      </w:r>
    </w:p>
    <w:p w14:paraId="735C4CB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5、发生继续接受赎回申请将损害现有基金份额持有人利益的情形时，基金管理人可暂停接受基金份额持有人的赎回申请。</w:t>
      </w:r>
    </w:p>
    <w:p w14:paraId="36F7B81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lastRenderedPageBreak/>
        <w:t>6、当前一估值日基金资产净值50%以上的资产出现无可参考的活跃市场价格且采用估值技术</w:t>
      </w:r>
      <w:proofErr w:type="gramStart"/>
      <w:r>
        <w:rPr>
          <w:rFonts w:ascii="宋体" w:hAnsi="宋体" w:cs="宋体"/>
          <w:sz w:val="21"/>
          <w:szCs w:val="21"/>
        </w:rPr>
        <w:t>仍导致</w:t>
      </w:r>
      <w:proofErr w:type="gramEnd"/>
      <w:r>
        <w:rPr>
          <w:rFonts w:ascii="宋体" w:hAnsi="宋体" w:cs="宋体"/>
          <w:sz w:val="21"/>
          <w:szCs w:val="21"/>
        </w:rPr>
        <w:t>公允价值存在重大不确定性时，经与基金托管人协商确认后，基金管理人应当延缓支付赎回款项或暂停接受基金赎回申请。</w:t>
      </w:r>
    </w:p>
    <w:p w14:paraId="585CFE7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7、法律法规规定或中国证监会认定的其他情形。</w:t>
      </w:r>
    </w:p>
    <w:p w14:paraId="029B5EC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发生上述情形之一</w:t>
      </w:r>
      <w:proofErr w:type="gramStart"/>
      <w:r>
        <w:rPr>
          <w:rFonts w:ascii="宋体" w:hAnsi="宋体" w:cs="宋体"/>
          <w:sz w:val="21"/>
          <w:szCs w:val="21"/>
        </w:rPr>
        <w:t>且基金</w:t>
      </w:r>
      <w:proofErr w:type="gramEnd"/>
      <w:r>
        <w:rPr>
          <w:rFonts w:ascii="宋体" w:hAnsi="宋体" w:cs="宋体"/>
          <w:sz w:val="21"/>
          <w:szCs w:val="21"/>
        </w:rPr>
        <w:t>管理人决定暂停赎回或延缓支付赎回款项时，基金管理人应在当日报中国证监会备案，已确认的赎回申请，基金管理人应足额支付</w:t>
      </w:r>
      <w:r>
        <w:rPr>
          <w:rFonts w:ascii="宋体" w:hAnsi="宋体" w:cs="宋体" w:hint="eastAsia"/>
          <w:sz w:val="21"/>
          <w:szCs w:val="21"/>
        </w:rPr>
        <w:t>赎回款项</w:t>
      </w:r>
      <w:r>
        <w:rPr>
          <w:rFonts w:ascii="宋体" w:hAnsi="宋体" w:cs="宋体"/>
          <w:sz w:val="21"/>
          <w:szCs w:val="21"/>
        </w:rPr>
        <w:t>；如暂时不能足额支付</w:t>
      </w:r>
      <w:r>
        <w:rPr>
          <w:rFonts w:ascii="宋体" w:hAnsi="宋体" w:cs="宋体" w:hint="eastAsia"/>
          <w:sz w:val="21"/>
          <w:szCs w:val="21"/>
        </w:rPr>
        <w:t>赎回款项</w:t>
      </w:r>
      <w:r>
        <w:rPr>
          <w:rFonts w:ascii="宋体" w:hAnsi="宋体" w:cs="宋体"/>
          <w:sz w:val="21"/>
          <w:szCs w:val="21"/>
        </w:rPr>
        <w:t>，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1D906EB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九、巨额赎回的情形及处理方式</w:t>
      </w:r>
    </w:p>
    <w:p w14:paraId="48F4E5B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1、巨额赎回的认定</w:t>
      </w:r>
    </w:p>
    <w:p w14:paraId="761E3A0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00A6265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2、巨额赎回的处理方式</w:t>
      </w:r>
    </w:p>
    <w:p w14:paraId="0119D02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当基金出现巨额赎回时，基金管理人可以根据基金当时的资产组合状况决定全额赎回或部分延期赎回。</w:t>
      </w:r>
    </w:p>
    <w:p w14:paraId="5653BF1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（1）全额赎回：当基金管理人认为有能力支付投资人的全部赎回申请时，按正常赎回程序执行。</w:t>
      </w:r>
    </w:p>
    <w:p w14:paraId="65D5AC0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cs="宋体"/>
          <w:sz w:val="21"/>
          <w:szCs w:val="21"/>
        </w:rPr>
        <w:t>并以下</w:t>
      </w:r>
      <w:proofErr w:type="gramEnd"/>
      <w:r>
        <w:rPr>
          <w:rFonts w:ascii="宋体" w:hAnsi="宋体" w:cs="宋体"/>
          <w:sz w:val="21"/>
          <w:szCs w:val="21"/>
        </w:rPr>
        <w:t>一开放日的该类基金份额净值为基础计算赎回金额，以此类推，直到全部赎回为止。如投资人在提交赎回申请时未作明确选择，投资人未能赎回部分作自动延期赎回处理。</w:t>
      </w:r>
    </w:p>
    <w:p w14:paraId="51365B2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w:t>
      </w:r>
      <w:proofErr w:type="gramStart"/>
      <w:r>
        <w:rPr>
          <w:rFonts w:ascii="宋体" w:hAnsi="宋体" w:cs="宋体"/>
          <w:sz w:val="21"/>
          <w:szCs w:val="21"/>
        </w:rPr>
        <w:t>若基金</w:t>
      </w:r>
      <w:proofErr w:type="gramEnd"/>
      <w:r>
        <w:rPr>
          <w:rFonts w:ascii="宋体" w:hAnsi="宋体" w:cs="宋体"/>
          <w:sz w:val="21"/>
          <w:szCs w:val="21"/>
        </w:rPr>
        <w:t>发生巨额赎回，在当日存在单个基金份额持有人超过上一开放日基金总份额10%以上的赎回申请（“大额赎回申请人”）的情形下，基金管理人可以延期办理大额赎回申请人的赎回申请。对其他赎回申请人（“小额赎回申请人”）和大额赎回申请人10%以内的赎回申请在当日根据前述“（1）全额赎回”或“（2）部分延期赎回”的约定方式</w:t>
      </w:r>
      <w:r>
        <w:rPr>
          <w:rFonts w:ascii="宋体" w:hAnsi="宋体" w:cs="宋体"/>
          <w:sz w:val="21"/>
          <w:szCs w:val="21"/>
        </w:rPr>
        <w:lastRenderedPageBreak/>
        <w:t>办理，在仍可接受赎回申请的范围内对大额赎回申请人超过10%的赎回</w:t>
      </w:r>
      <w:proofErr w:type="gramStart"/>
      <w:r>
        <w:rPr>
          <w:rFonts w:ascii="宋体" w:hAnsi="宋体" w:cs="宋体"/>
          <w:sz w:val="21"/>
          <w:szCs w:val="21"/>
        </w:rPr>
        <w:t>申请按</w:t>
      </w:r>
      <w:proofErr w:type="gramEnd"/>
      <w:r>
        <w:rPr>
          <w:rFonts w:ascii="宋体" w:hAnsi="宋体" w:cs="宋体"/>
          <w:sz w:val="21"/>
          <w:szCs w:val="21"/>
        </w:rPr>
        <w:t>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w:t>
      </w:r>
      <w:proofErr w:type="gramStart"/>
      <w:r>
        <w:rPr>
          <w:rFonts w:ascii="宋体" w:hAnsi="宋体" w:cs="宋体"/>
          <w:sz w:val="21"/>
          <w:szCs w:val="21"/>
        </w:rPr>
        <w:t>并以下</w:t>
      </w:r>
      <w:proofErr w:type="gramEnd"/>
      <w:r>
        <w:rPr>
          <w:rFonts w:ascii="宋体" w:hAnsi="宋体" w:cs="宋体"/>
          <w:sz w:val="21"/>
          <w:szCs w:val="21"/>
        </w:rPr>
        <w:t>一开放日的该类基金份额净值为基础计算赎回金额，以此类推。如基金份额持有人在提交赎回申请时未作明确选择，基金份额持有人未能赎回部分作自动延期赎回处理。</w:t>
      </w:r>
    </w:p>
    <w:p w14:paraId="2D536DE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74AC6AD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3、巨额赎回的公告</w:t>
      </w:r>
    </w:p>
    <w:p w14:paraId="158AD8B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当发生上述巨额赎回并延期办理时，基金管理人应当通过邮寄、传真或者招募说明书规定的其他方式在3个交易日内通知基金份额持有人，说明有关处理方法，并在2日内在规定媒介上刊登公告。</w:t>
      </w:r>
    </w:p>
    <w:p w14:paraId="0AA81FC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十、暂停申购或赎回的公告和重新开放申购或赎回的公告</w:t>
      </w:r>
    </w:p>
    <w:p w14:paraId="6ED7B31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1、发生上述暂停申购或赎回情况的，基金管理人应在规定期限内在规定媒介上刊登暂停公告。</w:t>
      </w:r>
    </w:p>
    <w:p w14:paraId="63FF449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2、上述暂停申购或赎回情况消除的，基金管理人应于重新开放日公布最近1个开放日的各类基金份额净值。</w:t>
      </w:r>
    </w:p>
    <w:p w14:paraId="52F8163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基金管理人可以根据暂停申购或赎回的时间，依照《信息披露办法》的有关规定，最迟于重新开放日在规定媒介上刊登基金重新开放申购或赎回公告；也可以根据实际情况在暂停公告中明确重新开放申购或赎回的时间，届时</w:t>
      </w:r>
      <w:r>
        <w:rPr>
          <w:rFonts w:ascii="宋体" w:hAnsi="宋体" w:cs="宋体" w:hint="eastAsia"/>
          <w:sz w:val="21"/>
          <w:szCs w:val="21"/>
        </w:rPr>
        <w:t>可</w:t>
      </w:r>
      <w:r>
        <w:rPr>
          <w:rFonts w:ascii="宋体" w:hAnsi="宋体" w:cs="宋体"/>
          <w:sz w:val="21"/>
          <w:szCs w:val="21"/>
        </w:rPr>
        <w:t>不再另行发布重新开放的公告。</w:t>
      </w:r>
    </w:p>
    <w:p w14:paraId="127964B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十一、基金转换</w:t>
      </w:r>
    </w:p>
    <w:p w14:paraId="5619C2C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355247A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十二、基金的</w:t>
      </w:r>
      <w:proofErr w:type="gramStart"/>
      <w:r>
        <w:rPr>
          <w:rFonts w:ascii="宋体" w:hAnsi="宋体" w:cs="宋体"/>
          <w:sz w:val="21"/>
          <w:szCs w:val="21"/>
        </w:rPr>
        <w:t>非交易</w:t>
      </w:r>
      <w:proofErr w:type="gramEnd"/>
      <w:r>
        <w:rPr>
          <w:rFonts w:ascii="宋体" w:hAnsi="宋体" w:cs="宋体"/>
          <w:sz w:val="21"/>
          <w:szCs w:val="21"/>
        </w:rPr>
        <w:t>过户</w:t>
      </w:r>
    </w:p>
    <w:p w14:paraId="30929E3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基金的</w:t>
      </w:r>
      <w:proofErr w:type="gramStart"/>
      <w:r>
        <w:rPr>
          <w:rFonts w:ascii="宋体" w:hAnsi="宋体" w:cs="宋体"/>
          <w:sz w:val="21"/>
          <w:szCs w:val="21"/>
        </w:rPr>
        <w:t>非交易</w:t>
      </w:r>
      <w:proofErr w:type="gramEnd"/>
      <w:r>
        <w:rPr>
          <w:rFonts w:ascii="宋体" w:hAnsi="宋体" w:cs="宋体"/>
          <w:sz w:val="21"/>
          <w:szCs w:val="21"/>
        </w:rPr>
        <w:t>过户是指基金登记机构受理继承、捐赠和司法强制执行等情形而产生的</w:t>
      </w:r>
      <w:proofErr w:type="gramStart"/>
      <w:r>
        <w:rPr>
          <w:rFonts w:ascii="宋体" w:hAnsi="宋体" w:cs="宋体"/>
          <w:sz w:val="21"/>
          <w:szCs w:val="21"/>
        </w:rPr>
        <w:t>非交</w:t>
      </w:r>
      <w:proofErr w:type="gramEnd"/>
      <w:r>
        <w:rPr>
          <w:rFonts w:ascii="宋体" w:hAnsi="宋体" w:cs="宋体"/>
          <w:sz w:val="21"/>
          <w:szCs w:val="21"/>
        </w:rPr>
        <w:t>易过户以及登记机构认可、符合法律法规的其它</w:t>
      </w:r>
      <w:proofErr w:type="gramStart"/>
      <w:r>
        <w:rPr>
          <w:rFonts w:ascii="宋体" w:hAnsi="宋体" w:cs="宋体"/>
          <w:sz w:val="21"/>
          <w:szCs w:val="21"/>
        </w:rPr>
        <w:t>非交</w:t>
      </w:r>
      <w:proofErr w:type="gramEnd"/>
      <w:r>
        <w:rPr>
          <w:rFonts w:ascii="宋体" w:hAnsi="宋体" w:cs="宋体"/>
          <w:sz w:val="21"/>
          <w:szCs w:val="21"/>
        </w:rPr>
        <w:t>易过户。无论在上述何种情况下，接受划转的主体必须是依法可以持有本</w:t>
      </w:r>
      <w:proofErr w:type="gramStart"/>
      <w:r>
        <w:rPr>
          <w:rFonts w:ascii="宋体" w:hAnsi="宋体" w:cs="宋体"/>
          <w:sz w:val="21"/>
          <w:szCs w:val="21"/>
        </w:rPr>
        <w:t>基金基金</w:t>
      </w:r>
      <w:proofErr w:type="gramEnd"/>
      <w:r>
        <w:rPr>
          <w:rFonts w:ascii="宋体" w:hAnsi="宋体" w:cs="宋体"/>
          <w:sz w:val="21"/>
          <w:szCs w:val="21"/>
        </w:rPr>
        <w:t>份额的投资人。</w:t>
      </w:r>
    </w:p>
    <w:p w14:paraId="03CC7CB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继承是指基金份额持有人死亡，其持有的基金份额由其合法的继承人继承；</w:t>
      </w:r>
      <w:proofErr w:type="gramStart"/>
      <w:r>
        <w:rPr>
          <w:rFonts w:ascii="宋体" w:hAnsi="宋体" w:cs="宋体"/>
          <w:sz w:val="21"/>
          <w:szCs w:val="21"/>
        </w:rPr>
        <w:t>捐赠指</w:t>
      </w:r>
      <w:proofErr w:type="gramEnd"/>
      <w:r>
        <w:rPr>
          <w:rFonts w:ascii="宋体" w:hAnsi="宋体" w:cs="宋体"/>
          <w:sz w:val="21"/>
          <w:szCs w:val="21"/>
        </w:rPr>
        <w:t>基金份额持有人将其合法持有的基金份额捐赠给福利性质的基金会或社会团体；司法强制执行是指司法机构依据生效司法文书将基金份额持有人持有的基金份额强制划转给其他自然</w:t>
      </w:r>
      <w:r>
        <w:rPr>
          <w:rFonts w:ascii="宋体" w:hAnsi="宋体" w:cs="宋体"/>
          <w:sz w:val="21"/>
          <w:szCs w:val="21"/>
        </w:rPr>
        <w:lastRenderedPageBreak/>
        <w:t>人、法人或其他组织。办理</w:t>
      </w:r>
      <w:proofErr w:type="gramStart"/>
      <w:r>
        <w:rPr>
          <w:rFonts w:ascii="宋体" w:hAnsi="宋体" w:cs="宋体"/>
          <w:sz w:val="21"/>
          <w:szCs w:val="21"/>
        </w:rPr>
        <w:t>非交易</w:t>
      </w:r>
      <w:proofErr w:type="gramEnd"/>
      <w:r>
        <w:rPr>
          <w:rFonts w:ascii="宋体" w:hAnsi="宋体" w:cs="宋体"/>
          <w:sz w:val="21"/>
          <w:szCs w:val="21"/>
        </w:rPr>
        <w:t>过户必须提供基金登记机构要求提供的相关资料，对于符合条件的</w:t>
      </w:r>
      <w:proofErr w:type="gramStart"/>
      <w:r>
        <w:rPr>
          <w:rFonts w:ascii="宋体" w:hAnsi="宋体" w:cs="宋体"/>
          <w:sz w:val="21"/>
          <w:szCs w:val="21"/>
        </w:rPr>
        <w:t>非交易过户申请</w:t>
      </w:r>
      <w:proofErr w:type="gramEnd"/>
      <w:r>
        <w:rPr>
          <w:rFonts w:ascii="宋体" w:hAnsi="宋体" w:cs="宋体"/>
          <w:sz w:val="21"/>
          <w:szCs w:val="21"/>
        </w:rPr>
        <w:t>按基金登记机构的规定办理，并按基金登记机构规定的标准收费。</w:t>
      </w:r>
    </w:p>
    <w:p w14:paraId="56D894E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十三、基金的转托管</w:t>
      </w:r>
    </w:p>
    <w:p w14:paraId="4DD52C6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基金份额持有人可办理已持有基金份额在不同销售机构之间的转托管，基金销售机构可以按照规定的标准收取转托管费。</w:t>
      </w:r>
    </w:p>
    <w:p w14:paraId="06150DA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十四、定期定额投资计划</w:t>
      </w:r>
    </w:p>
    <w:p w14:paraId="70B9E69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26D0BCD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十五、基金份额的冻结和解冻</w:t>
      </w:r>
    </w:p>
    <w:p w14:paraId="30E8AF8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基金登记机构只受理国家有权机关依法要求的基金份额的冻结与解冻，以及登记机构认可、符合法律法规的其他情况下的冻结与解冻。</w:t>
      </w:r>
    </w:p>
    <w:p w14:paraId="69A20BA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十六、基金份额的转让</w:t>
      </w:r>
    </w:p>
    <w:p w14:paraId="08A6086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进行公告，基金份额持有人应根据基金管理人公告的业务规则办理基金份额转让业务。</w:t>
      </w:r>
    </w:p>
    <w:p w14:paraId="649DC94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十七、实施</w:t>
      </w:r>
      <w:proofErr w:type="gramStart"/>
      <w:r>
        <w:rPr>
          <w:rFonts w:ascii="宋体" w:hAnsi="宋体" w:cs="宋体"/>
          <w:sz w:val="21"/>
          <w:szCs w:val="21"/>
        </w:rPr>
        <w:t>侧袋机制</w:t>
      </w:r>
      <w:proofErr w:type="gramEnd"/>
      <w:r>
        <w:rPr>
          <w:rFonts w:ascii="宋体" w:hAnsi="宋体" w:cs="宋体"/>
          <w:sz w:val="21"/>
          <w:szCs w:val="21"/>
        </w:rPr>
        <w:t>期间本基金的申购与赎回</w:t>
      </w:r>
    </w:p>
    <w:p w14:paraId="143FDC4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本基金实施</w:t>
      </w:r>
      <w:proofErr w:type="gramStart"/>
      <w:r>
        <w:rPr>
          <w:rFonts w:ascii="宋体" w:hAnsi="宋体" w:cs="宋体"/>
          <w:sz w:val="21"/>
          <w:szCs w:val="21"/>
        </w:rPr>
        <w:t>侧袋机制</w:t>
      </w:r>
      <w:proofErr w:type="gramEnd"/>
      <w:r>
        <w:rPr>
          <w:rFonts w:ascii="宋体" w:hAnsi="宋体" w:cs="宋体"/>
          <w:sz w:val="21"/>
          <w:szCs w:val="21"/>
        </w:rPr>
        <w:t>的，本基金的申购和赎回安排详见招募说明书或相关公告。</w:t>
      </w:r>
    </w:p>
    <w:p w14:paraId="70F137D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十八、其他业务</w:t>
      </w:r>
    </w:p>
    <w:p w14:paraId="70F86D4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05860B5A" w14:textId="77777777" w:rsidR="00401986" w:rsidRDefault="00B137D7">
      <w:pPr>
        <w:pStyle w:val="1"/>
        <w:keepLines/>
        <w:pageBreakBefore/>
        <w:widowControl w:val="0"/>
        <w:spacing w:before="210" w:after="0" w:line="360" w:lineRule="auto"/>
        <w:jc w:val="center"/>
        <w:rPr>
          <w:rFonts w:ascii="Times New Roman" w:eastAsia="Times New Roman" w:hAnsi="Times New Roman" w:cs="Times New Roman"/>
        </w:rPr>
      </w:pPr>
      <w:bookmarkStart w:id="8" w:name="_Toc256000006"/>
      <w:r>
        <w:rPr>
          <w:rFonts w:ascii="宋体" w:hAnsi="宋体" w:cs="宋体"/>
          <w:kern w:val="36"/>
          <w:sz w:val="24"/>
          <w:szCs w:val="24"/>
        </w:rPr>
        <w:lastRenderedPageBreak/>
        <w:t>第七部分 基金合同当事人及权利义务</w:t>
      </w:r>
      <w:bookmarkEnd w:id="8"/>
    </w:p>
    <w:p w14:paraId="026E3039" w14:textId="77777777" w:rsidR="00401986" w:rsidRDefault="00401986">
      <w:pPr>
        <w:widowControl w:val="0"/>
        <w:spacing w:line="360" w:lineRule="auto"/>
        <w:jc w:val="both"/>
        <w:rPr>
          <w:rFonts w:ascii="宋体" w:hAnsi="宋体" w:cs="宋体"/>
          <w:sz w:val="21"/>
          <w:szCs w:val="21"/>
        </w:rPr>
      </w:pPr>
    </w:p>
    <w:p w14:paraId="583CBAD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一、基金管理人</w:t>
      </w:r>
    </w:p>
    <w:p w14:paraId="2CD8DCE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（一）基金管理人简况</w:t>
      </w:r>
    </w:p>
    <w:p w14:paraId="169F014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名称：鹏华基金管理有限公司</w:t>
      </w:r>
    </w:p>
    <w:p w14:paraId="6D01C51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住所：深圳市福田区福华三路168号深圳国际商会中心43层</w:t>
      </w:r>
    </w:p>
    <w:p w14:paraId="77F295DC" w14:textId="0858B925"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法定代表人：</w:t>
      </w:r>
      <w:r w:rsidR="00E96A5E" w:rsidRPr="00E96A5E">
        <w:rPr>
          <w:rFonts w:ascii="宋体" w:hAnsi="宋体" w:cs="宋体" w:hint="eastAsia"/>
          <w:sz w:val="21"/>
          <w:szCs w:val="21"/>
        </w:rPr>
        <w:t>张纳沙</w:t>
      </w:r>
    </w:p>
    <w:p w14:paraId="306C140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设立日期：1998年12月22日</w:t>
      </w:r>
    </w:p>
    <w:p w14:paraId="3D493B2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批准设立机关及批准设立文号：中国证券监督管理委员会〔1998〕31号文</w:t>
      </w:r>
    </w:p>
    <w:p w14:paraId="3D6FA64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组织形式：有限责任公司</w:t>
      </w:r>
    </w:p>
    <w:p w14:paraId="7F4BD55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注册资本：1.5亿元</w:t>
      </w:r>
      <w:r>
        <w:rPr>
          <w:rFonts w:ascii="宋体" w:hAnsi="宋体" w:cs="宋体" w:hint="eastAsia"/>
          <w:sz w:val="21"/>
          <w:szCs w:val="21"/>
        </w:rPr>
        <w:t>人民币</w:t>
      </w:r>
    </w:p>
    <w:p w14:paraId="1B43CCF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存续期限：持续经营</w:t>
      </w:r>
    </w:p>
    <w:p w14:paraId="1319C95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联系电话：0755-82021233</w:t>
      </w:r>
    </w:p>
    <w:p w14:paraId="5F4EB4C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（二）基金管理人的权利与义务</w:t>
      </w:r>
    </w:p>
    <w:p w14:paraId="6979EE6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1、根据《基金法》、《运作办法》及其他有关规定，基金管理人的权利包括但不限于：</w:t>
      </w:r>
    </w:p>
    <w:p w14:paraId="05BC343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（1）依法募集资金；</w:t>
      </w:r>
    </w:p>
    <w:p w14:paraId="202C2EC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（2）自《基金合同》生效之日起，根据法律法规和《基金合同》独立运用并管理基金财产；</w:t>
      </w:r>
    </w:p>
    <w:p w14:paraId="5A0B210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（3）依照《基金合同》收取基金管理费以及法律法规规定或中国证监会批准的其他费用；</w:t>
      </w:r>
    </w:p>
    <w:p w14:paraId="77FE946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（4）销售基金份额；</w:t>
      </w:r>
    </w:p>
    <w:p w14:paraId="7C90409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（5）按照规定召集基金份额持有人大会；</w:t>
      </w:r>
    </w:p>
    <w:p w14:paraId="450A760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（6）依据《基金合同》及有关法律规定监督基金托管人，如认为基金托管人违反了《基金合同》及国家有关法律规定，应呈报中国证监会和其他监管部门，并采取必要措施保护基金投资者的利益；</w:t>
      </w:r>
    </w:p>
    <w:p w14:paraId="3D6006E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（7）在基金托管人更换时，提名新的基金托管人；</w:t>
      </w:r>
    </w:p>
    <w:p w14:paraId="27F488A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（8）选择、更换基金销售机构，对基金销售机构的相关行为进行监督和处理；</w:t>
      </w:r>
    </w:p>
    <w:p w14:paraId="6B2B613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（9）担任或委托其他符合条件的机构担任基金登记机构办理基金登记业务并获得《基金合同》规定的费用；</w:t>
      </w:r>
    </w:p>
    <w:p w14:paraId="7A3E0A3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（10）依据《基金合同》及有关法律规定决定基金收益的分配方案；</w:t>
      </w:r>
    </w:p>
    <w:p w14:paraId="391AF4D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（11）在《基金合同》约定的范围内，拒绝或暂停受理申购、赎回或转换申请；</w:t>
      </w:r>
    </w:p>
    <w:p w14:paraId="5A30992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（12）依照法律法规</w:t>
      </w:r>
      <w:r>
        <w:rPr>
          <w:rFonts w:ascii="宋体" w:hAnsi="宋体" w:cs="宋体" w:hint="eastAsia"/>
          <w:sz w:val="21"/>
          <w:szCs w:val="21"/>
        </w:rPr>
        <w:t>为基金的利益对被投资公司行使股东权利，</w:t>
      </w:r>
      <w:r>
        <w:rPr>
          <w:rFonts w:ascii="宋体" w:hAnsi="宋体" w:cs="宋体"/>
          <w:sz w:val="21"/>
          <w:szCs w:val="21"/>
        </w:rPr>
        <w:t>为基金的利益行使因基金财产投资所产生的权利；</w:t>
      </w:r>
    </w:p>
    <w:p w14:paraId="156F4E79" w14:textId="4B3A4AB5"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lastRenderedPageBreak/>
        <w:t>（13）在法律法规允许的前提下，为基金的利益依法为基金进行融资；</w:t>
      </w:r>
    </w:p>
    <w:p w14:paraId="6A22365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（14）以基金管理人的名义，代表基金份额持有人的利益行使诉讼权利或者实施其他法律行为；</w:t>
      </w:r>
    </w:p>
    <w:p w14:paraId="3D8CC01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（15）选择、更换律师事务所、会计师事务所、证券/期货经纪商或其他为基金提供服务的外部机构；</w:t>
      </w:r>
    </w:p>
    <w:p w14:paraId="5BB2FE1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（16）在符合有关法律、法规的前提下，制订和调整有关基金认购、申购、赎回、转换</w:t>
      </w:r>
      <w:r>
        <w:rPr>
          <w:rFonts w:ascii="宋体" w:hAnsi="宋体" w:cs="宋体" w:hint="eastAsia"/>
          <w:sz w:val="21"/>
          <w:szCs w:val="21"/>
        </w:rPr>
        <w:t>、转托管、定期定额投资</w:t>
      </w:r>
      <w:r>
        <w:rPr>
          <w:rFonts w:ascii="宋体" w:hAnsi="宋体" w:cs="宋体"/>
          <w:sz w:val="21"/>
          <w:szCs w:val="21"/>
        </w:rPr>
        <w:t>和</w:t>
      </w:r>
      <w:proofErr w:type="gramStart"/>
      <w:r>
        <w:rPr>
          <w:rFonts w:ascii="宋体" w:hAnsi="宋体" w:cs="宋体"/>
          <w:sz w:val="21"/>
          <w:szCs w:val="21"/>
        </w:rPr>
        <w:t>非交易</w:t>
      </w:r>
      <w:proofErr w:type="gramEnd"/>
      <w:r>
        <w:rPr>
          <w:rFonts w:ascii="宋体" w:hAnsi="宋体" w:cs="宋体"/>
          <w:sz w:val="21"/>
          <w:szCs w:val="21"/>
        </w:rPr>
        <w:t>过户等业务规则；</w:t>
      </w:r>
    </w:p>
    <w:p w14:paraId="7CC98A5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（17）法律法规及中国证监会规定的和《基金合同》约定的其他权利。</w:t>
      </w:r>
    </w:p>
    <w:p w14:paraId="5ACE413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2、根据《基金法》、《运作办法》及其他有关规定，基金管理人的义务包括但不限于：</w:t>
      </w:r>
    </w:p>
    <w:p w14:paraId="35A7D72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（1）依法募集资金，办理或者委托经中国证监会认定的其他机构办理基金份额的发售、申购、赎回和登记事宜；</w:t>
      </w:r>
    </w:p>
    <w:p w14:paraId="02F6EC8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（2）办理基金备案手续；</w:t>
      </w:r>
    </w:p>
    <w:p w14:paraId="55DC072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（3）自《基金合同》生效之日起，以诚实信用、谨慎勤勉的原则管理和运用基金财产；</w:t>
      </w:r>
    </w:p>
    <w:p w14:paraId="750C1BE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（4）配备足够的具有专业资格的人员进行基金投资分析、决策，以专业化的经营方式管理和运作基金财产；</w:t>
      </w:r>
    </w:p>
    <w:p w14:paraId="6C97FDA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（5）建立健全内部风险控制、监察与稽核、财务管理及人事管理等制度，保证所管理的基金财产和基金管理人的财产相互独立，对所管理的不同基金分别管理，分别记账，进行证券投资；</w:t>
      </w:r>
    </w:p>
    <w:p w14:paraId="1DEAF67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（6）除依据《基金法》、《基金合同》及其他有关规定外，不得利用基金财产为自己及任何第三人谋取利益，不得委托第三人运作基金财产；</w:t>
      </w:r>
    </w:p>
    <w:p w14:paraId="59FE046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（7）依法接受基金托管人的监督；</w:t>
      </w:r>
    </w:p>
    <w:p w14:paraId="00FACC3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（8）采取适当合理的措施使计算基金份额认购、申购、赎回和注销价格的方法符合《基金合同》等法律文件的规定，按有关规定计算并公告基金净值信息，确定基金份额申购、赎回的价格；</w:t>
      </w:r>
    </w:p>
    <w:p w14:paraId="30791EB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（9）进行基金会计核算并编制基金财务会计报告；</w:t>
      </w:r>
    </w:p>
    <w:p w14:paraId="319B356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（10）编制季度报告、中期报告和年度报告；</w:t>
      </w:r>
    </w:p>
    <w:p w14:paraId="2A5DAD1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（11）严格按照《基金法》、《基金合同》及其他有关规定，履行信息披露及报告义务；</w:t>
      </w:r>
    </w:p>
    <w:p w14:paraId="66C631A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（12）保守基金商业秘密，不泄露基金投资计划、投资意向等。除《基金法》、《基金合同》及其他有关规定另有规定外，在基金信息公开披露前应予保密，不向他人泄露</w:t>
      </w:r>
      <w:r>
        <w:rPr>
          <w:rFonts w:ascii="宋体" w:hAnsi="宋体" w:cs="宋体" w:hint="eastAsia"/>
          <w:sz w:val="21"/>
          <w:szCs w:val="21"/>
        </w:rPr>
        <w:t>，向监管机构、司法机关等有权机关，以及审计、法律等外部专业顾问提供的情况除外</w:t>
      </w:r>
      <w:r>
        <w:rPr>
          <w:rFonts w:ascii="宋体" w:hAnsi="宋体" w:cs="宋体"/>
          <w:sz w:val="21"/>
          <w:szCs w:val="21"/>
        </w:rPr>
        <w:t>；</w:t>
      </w:r>
    </w:p>
    <w:p w14:paraId="5C6C5B4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（13）按《基金合同》的约定确定基金收益分配方案，及时向基金份额持有人分配基金收益；</w:t>
      </w:r>
    </w:p>
    <w:p w14:paraId="43F789F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（14）按规定受理申购与赎回申请，及时、足额支付赎回款项；</w:t>
      </w:r>
    </w:p>
    <w:p w14:paraId="0A749F4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lastRenderedPageBreak/>
        <w:t>（15）依据《基金法》、《基金合同》及其他有关规定召集基金份额持有人大会或配合基金托管人、基金份额持有人依法召集基金份额持有人大会；</w:t>
      </w:r>
    </w:p>
    <w:p w14:paraId="370F126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（16）按规定保存基金财产管理业务活动的会计账册、报表、记录和其他相关资料，保存期限</w:t>
      </w:r>
      <w:r>
        <w:rPr>
          <w:rFonts w:ascii="宋体" w:hAnsi="宋体" w:cs="宋体" w:hint="eastAsia"/>
          <w:sz w:val="21"/>
          <w:szCs w:val="21"/>
        </w:rPr>
        <w:t>不少于法律法规的规定</w:t>
      </w:r>
      <w:r>
        <w:rPr>
          <w:rFonts w:ascii="宋体" w:hAnsi="宋体" w:cs="宋体"/>
          <w:sz w:val="21"/>
          <w:szCs w:val="21"/>
        </w:rPr>
        <w:t>；</w:t>
      </w:r>
    </w:p>
    <w:p w14:paraId="5841C85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EAEAF8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（18）组织并参加基金财产清算小组，参与基金财产的保管、清理、估价、变现和分配；</w:t>
      </w:r>
    </w:p>
    <w:p w14:paraId="3E90C1A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（19）面临解散、依法被撤销或者被依法宣告破产时，及时报告中国证监会并通知基金托管人；</w:t>
      </w:r>
    </w:p>
    <w:p w14:paraId="52622E5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（20）因违反《基金合同》导致基金财产的损失或损害基金份额持有人合法权益时，应当承担赔偿责任，其赔偿责任不因其退任而免除；</w:t>
      </w:r>
    </w:p>
    <w:p w14:paraId="1B99619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（21）监督基金托管人按法律法规和《基金合同》规定履行自己的义务，基金托管人违反《基金合同》造成基金财产损失时，基金管理人应为基金份额持有人利益向基金托管人追偿；</w:t>
      </w:r>
    </w:p>
    <w:p w14:paraId="664142A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（22）当基金管理人将其义务委托第三方处理时，应当对第三方处理有关基金事务的行为承担责任；</w:t>
      </w:r>
    </w:p>
    <w:p w14:paraId="70A7035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（23）以基金管理人名义，代表基金份额持有人利益行使诉讼权利或实施其他法律行为；</w:t>
      </w:r>
    </w:p>
    <w:p w14:paraId="5238186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（24）基金管理人在募集期间未能达到基金的备案条件，《基金合同》不能生效，基金管理人承担全部募集费用，将已募集资金并加计银行同期活期存款利息在基金募集期结束后30日内退还基金认购人；</w:t>
      </w:r>
    </w:p>
    <w:p w14:paraId="4D0D856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（25）执行生效的基金份额持有人大会的决议；</w:t>
      </w:r>
    </w:p>
    <w:p w14:paraId="1AC4AE8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（26）建立并保存基金份额持有人名册；</w:t>
      </w:r>
    </w:p>
    <w:p w14:paraId="0667EAD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（27）法律法规及中国证监会规定的和《基金合同》约定的其他义务。</w:t>
      </w:r>
    </w:p>
    <w:p w14:paraId="5BA8779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二、基金托管人</w:t>
      </w:r>
    </w:p>
    <w:p w14:paraId="68FFEA7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（一）基金托管人简况</w:t>
      </w:r>
    </w:p>
    <w:p w14:paraId="3CD39E1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名称：中国建设银行股份有限公司(以下简称“中国建设银行”)</w:t>
      </w:r>
    </w:p>
    <w:p w14:paraId="1D63D82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住所：北京市西城区金融大街25号</w:t>
      </w:r>
    </w:p>
    <w:p w14:paraId="1A68322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办公地址：北京市西城区闹市口大街1号院1号楼</w:t>
      </w:r>
    </w:p>
    <w:p w14:paraId="2A59B24E" w14:textId="4EC382E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法定代表人：</w:t>
      </w:r>
      <w:r w:rsidR="00E96A5E">
        <w:rPr>
          <w:rFonts w:ascii="宋体" w:hAnsi="宋体" w:cs="宋体" w:hint="eastAsia"/>
          <w:sz w:val="21"/>
          <w:szCs w:val="21"/>
        </w:rPr>
        <w:t>张金良</w:t>
      </w:r>
    </w:p>
    <w:p w14:paraId="4E1A188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成立时间：2004年09月17日</w:t>
      </w:r>
    </w:p>
    <w:p w14:paraId="5A2BC3B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组织形式：股份有限公司</w:t>
      </w:r>
    </w:p>
    <w:p w14:paraId="5C011B8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lastRenderedPageBreak/>
        <w:t>注册资本：</w:t>
      </w:r>
      <w:proofErr w:type="gramStart"/>
      <w:r>
        <w:rPr>
          <w:rFonts w:ascii="宋体" w:hAnsi="宋体" w:cs="宋体" w:hint="eastAsia"/>
          <w:sz w:val="21"/>
          <w:szCs w:val="21"/>
        </w:rPr>
        <w:t>贰仟伍佰亿壹仟零玖拾柒万柒仟肆佰捌拾陆</w:t>
      </w:r>
      <w:proofErr w:type="gramEnd"/>
      <w:r>
        <w:rPr>
          <w:rFonts w:ascii="宋体" w:hAnsi="宋体" w:cs="宋体" w:hint="eastAsia"/>
          <w:sz w:val="21"/>
          <w:szCs w:val="21"/>
        </w:rPr>
        <w:t>元整</w:t>
      </w:r>
    </w:p>
    <w:p w14:paraId="318ACDA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存续期间：持续经营</w:t>
      </w:r>
    </w:p>
    <w:p w14:paraId="3500934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基金托管资格批文及文号：中国证监会</w:t>
      </w:r>
      <w:proofErr w:type="gramStart"/>
      <w:r>
        <w:rPr>
          <w:rFonts w:ascii="宋体" w:hAnsi="宋体" w:cs="宋体" w:hint="eastAsia"/>
          <w:sz w:val="21"/>
          <w:szCs w:val="21"/>
        </w:rPr>
        <w:t>证监基字</w:t>
      </w:r>
      <w:proofErr w:type="gramEnd"/>
      <w:r>
        <w:rPr>
          <w:rFonts w:ascii="宋体" w:hAnsi="宋体" w:cs="宋体" w:hint="eastAsia"/>
          <w:sz w:val="21"/>
          <w:szCs w:val="21"/>
        </w:rPr>
        <w:t>[1998]12号</w:t>
      </w:r>
    </w:p>
    <w:p w14:paraId="721EDE2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联系人：王小飞</w:t>
      </w:r>
    </w:p>
    <w:p w14:paraId="253EB7A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联系电话：(021)6063 7103</w:t>
      </w:r>
    </w:p>
    <w:p w14:paraId="7218177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（二）基金托管人的权利与义务</w:t>
      </w:r>
    </w:p>
    <w:p w14:paraId="2149515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1、根据《基金法》、《运作办法》及其他有关规定，基金托管人的权利包括但不限于：</w:t>
      </w:r>
    </w:p>
    <w:p w14:paraId="14C1CB6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（1）自《基金合同》生效之日起，依法</w:t>
      </w:r>
      <w:proofErr w:type="gramStart"/>
      <w:r>
        <w:rPr>
          <w:rFonts w:ascii="宋体" w:hAnsi="宋体" w:cs="宋体"/>
          <w:sz w:val="21"/>
          <w:szCs w:val="21"/>
        </w:rPr>
        <w:t>律法规</w:t>
      </w:r>
      <w:proofErr w:type="gramEnd"/>
      <w:r>
        <w:rPr>
          <w:rFonts w:ascii="宋体" w:hAnsi="宋体" w:cs="宋体"/>
          <w:sz w:val="21"/>
          <w:szCs w:val="21"/>
        </w:rPr>
        <w:t>和《基金合同》的规定安全保管基金财产；</w:t>
      </w:r>
    </w:p>
    <w:p w14:paraId="69A3DCC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（2）依《基金合同》约定获得基金托管费以及法律法规规定或监管部门批准的其他费用；</w:t>
      </w:r>
    </w:p>
    <w:p w14:paraId="4E59429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15B75B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（4）根据相关市场规则，为基金开设资金账户、证券账户等投资所需账户，为基金办理证券交易资金清算；</w:t>
      </w:r>
    </w:p>
    <w:p w14:paraId="3CBFBA6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（5）提议召开或召集基金份额持有人大会；</w:t>
      </w:r>
    </w:p>
    <w:p w14:paraId="225FFCB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（6）在基金管理人更换时，提名新的基金管理人；</w:t>
      </w:r>
    </w:p>
    <w:p w14:paraId="576E711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（7）法律法规及中国证监会规定的和《基金合同》约定的其他权利。</w:t>
      </w:r>
    </w:p>
    <w:p w14:paraId="42F44D5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2、根据《基金法》、《运作办法》及其他有关规定，基金托管人的义务包括但不限于：</w:t>
      </w:r>
    </w:p>
    <w:p w14:paraId="3147532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（1）以诚实信用、勤勉尽责的原则持有并安全保管基金财产；</w:t>
      </w:r>
    </w:p>
    <w:p w14:paraId="184EC00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（2）设立专门的基金托管部门，具有符合要求的营业场所，配备足够的、合格的熟悉基金托管业务的专职人员，负责基金财产托管事宜；</w:t>
      </w:r>
    </w:p>
    <w:p w14:paraId="202904B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0A5A65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（4）除依据《基金法》、《基金合同》及其他有关规定外，不得利用基金财产为自己及任何第三人谋取利益，不得委托第三人托管基金财产；</w:t>
      </w:r>
    </w:p>
    <w:p w14:paraId="4DEBE9C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（5）保管由基金管理人代表基金签订的与基金有关的重大合同及有关凭证；</w:t>
      </w:r>
    </w:p>
    <w:p w14:paraId="6E73F5F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（6）按规定开设基金财产的资金账户和证券账户等投资所需账户，按照《基金合同》的约定，根据基金管理人的投资指令，及时办理清算、交割事宜；</w:t>
      </w:r>
    </w:p>
    <w:p w14:paraId="71AF146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（7）保守基金商业秘密，除《基金法》、《基金合同》及其他有关规定另有规定外，在基金信息公开披露前予以保密，不得向他人泄露</w:t>
      </w:r>
      <w:r>
        <w:rPr>
          <w:rFonts w:ascii="宋体" w:hAnsi="宋体" w:cs="宋体" w:hint="eastAsia"/>
          <w:sz w:val="21"/>
          <w:szCs w:val="21"/>
        </w:rPr>
        <w:t>，向监管机构、司法机关等有权机关，</w:t>
      </w:r>
      <w:r>
        <w:rPr>
          <w:rFonts w:ascii="宋体" w:hAnsi="宋体" w:cs="宋体" w:hint="eastAsia"/>
          <w:sz w:val="21"/>
          <w:szCs w:val="21"/>
        </w:rPr>
        <w:lastRenderedPageBreak/>
        <w:t>以及审计、法律等外部专业顾问提供的情况除外</w:t>
      </w:r>
      <w:r>
        <w:rPr>
          <w:rFonts w:ascii="宋体" w:hAnsi="宋体" w:cs="宋体"/>
          <w:sz w:val="21"/>
          <w:szCs w:val="21"/>
        </w:rPr>
        <w:t>；</w:t>
      </w:r>
    </w:p>
    <w:p w14:paraId="64AEF5B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（8）复核、审查基金管理人计算的基金资产净值、各类基金份额净值、基金份额申购、赎回价格；</w:t>
      </w:r>
    </w:p>
    <w:p w14:paraId="2714FA7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（9）办理与基金托管业务活动有关的信息披露事项；</w:t>
      </w:r>
    </w:p>
    <w:p w14:paraId="6AD8AB2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52AB27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（11）保存基金托管业务活动的记录、账册、报表和其他相关资料，保存期限</w:t>
      </w:r>
      <w:r>
        <w:rPr>
          <w:rFonts w:ascii="宋体" w:hAnsi="宋体" w:cs="宋体" w:hint="eastAsia"/>
          <w:sz w:val="21"/>
          <w:szCs w:val="21"/>
        </w:rPr>
        <w:t>不少于法律法规的规定</w:t>
      </w:r>
      <w:r>
        <w:rPr>
          <w:rFonts w:ascii="宋体" w:hAnsi="宋体" w:cs="宋体"/>
          <w:sz w:val="21"/>
          <w:szCs w:val="21"/>
        </w:rPr>
        <w:t>；</w:t>
      </w:r>
    </w:p>
    <w:p w14:paraId="220C403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（12）从基金管理人或其委托的登记机构处接收并保存基金份额持有人名册；</w:t>
      </w:r>
    </w:p>
    <w:p w14:paraId="4B093DE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（13）按规定制作相关账册并与基金管理人核对；</w:t>
      </w:r>
    </w:p>
    <w:p w14:paraId="3C9977C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（14）依据基金管理人的指令或有关规定向基金份额持有人支付基金收益和赎回款项；</w:t>
      </w:r>
    </w:p>
    <w:p w14:paraId="6695D0F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（15）依据《基金法》、《基金合同》及其他有关规定，召集基金份额持有人大会或配合基金管理人、基金份额持有人依法召集基金份额持有人大会；</w:t>
      </w:r>
    </w:p>
    <w:p w14:paraId="1C7F216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（16）按照法律法规和《基金合同》的规定监督基金管理人的投资运作；</w:t>
      </w:r>
    </w:p>
    <w:p w14:paraId="5431155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（17）参加基金财产清算小组，参与基金财产的保管、清理、估价、变现和分配；</w:t>
      </w:r>
    </w:p>
    <w:p w14:paraId="7A0C181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（18）面临解散、依法被撤销或者被依法宣告破产时，及时报告中国证监会和银行业监督管理机构，并通知基金管理人；</w:t>
      </w:r>
    </w:p>
    <w:p w14:paraId="3D05561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（19）因违反《基金合同》导致基金财产损失时，应承担赔偿责任，其赔偿责任不因其退任而免除；</w:t>
      </w:r>
    </w:p>
    <w:p w14:paraId="10C4967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（20）按规定监督基金管理人按法律法规和《基金合同》规定履行自己的义务，基金管理人因违反《基金合同》造成基金财产损失时，应为基金份额持有人利益向基金管理人追偿；</w:t>
      </w:r>
    </w:p>
    <w:p w14:paraId="60CDDCA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（21）执行生效的基金份额持有人大会的决议；</w:t>
      </w:r>
    </w:p>
    <w:p w14:paraId="5495CE3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（22）法律法规及中国证监会规定的和《基金合同》约定的其他义务。</w:t>
      </w:r>
    </w:p>
    <w:p w14:paraId="12145FD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三、基金份额持有人</w:t>
      </w:r>
    </w:p>
    <w:p w14:paraId="32AD380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基金投资者持有本</w:t>
      </w:r>
      <w:proofErr w:type="gramStart"/>
      <w:r>
        <w:rPr>
          <w:rFonts w:ascii="宋体" w:hAnsi="宋体" w:cs="宋体"/>
          <w:sz w:val="21"/>
          <w:szCs w:val="21"/>
        </w:rPr>
        <w:t>基金基金</w:t>
      </w:r>
      <w:proofErr w:type="gramEnd"/>
      <w:r>
        <w:rPr>
          <w:rFonts w:ascii="宋体" w:hAnsi="宋体" w:cs="宋体"/>
          <w:sz w:val="21"/>
          <w:szCs w:val="21"/>
        </w:rPr>
        <w:t>份额的行为即视为对《基金合同》的承认和接受，基金投资者</w:t>
      </w:r>
      <w:proofErr w:type="gramStart"/>
      <w:r>
        <w:rPr>
          <w:rFonts w:ascii="宋体" w:hAnsi="宋体" w:cs="宋体"/>
          <w:sz w:val="21"/>
          <w:szCs w:val="21"/>
        </w:rPr>
        <w:t>自依</w:t>
      </w:r>
      <w:proofErr w:type="gramEnd"/>
      <w:r>
        <w:rPr>
          <w:rFonts w:ascii="宋体" w:hAnsi="宋体" w:cs="宋体"/>
          <w:sz w:val="21"/>
          <w:szCs w:val="21"/>
        </w:rPr>
        <w:t>据《基金合同》取得基金份额，即成为本</w:t>
      </w:r>
      <w:proofErr w:type="gramStart"/>
      <w:r>
        <w:rPr>
          <w:rFonts w:ascii="宋体" w:hAnsi="宋体" w:cs="宋体"/>
          <w:sz w:val="21"/>
          <w:szCs w:val="21"/>
        </w:rPr>
        <w:t>基金基</w:t>
      </w:r>
      <w:proofErr w:type="gramEnd"/>
      <w:r>
        <w:rPr>
          <w:rFonts w:ascii="宋体" w:hAnsi="宋体" w:cs="宋体"/>
          <w:sz w:val="21"/>
          <w:szCs w:val="21"/>
        </w:rPr>
        <w:t>金份额持有人和《基金合同》的当事人，直至其不再持有本基金的基金份额。基金份额持有人作为《基金合同》当事人并不以在《基金合同》上书面签章或签字为必要条件。</w:t>
      </w:r>
    </w:p>
    <w:p w14:paraId="3A4B79F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同一类别每份基金份额具有同等的合法权益。</w:t>
      </w:r>
    </w:p>
    <w:p w14:paraId="7C92407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1、根据《基金法》、《运作办法》及其他有关规定，基金份额持有人的权利包括但不限于：</w:t>
      </w:r>
    </w:p>
    <w:p w14:paraId="11BFB8E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（1）分享基金财产收益；</w:t>
      </w:r>
    </w:p>
    <w:p w14:paraId="032514B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lastRenderedPageBreak/>
        <w:t>（2）参与分配清算后的剩余基金财产；</w:t>
      </w:r>
    </w:p>
    <w:p w14:paraId="40987D0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（3）依法转让或者申请赎回其持有的基金份额；</w:t>
      </w:r>
    </w:p>
    <w:p w14:paraId="3502745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（4）按照规定要求召开基金份额持有人大会或者召集基金份额持有人大会；</w:t>
      </w:r>
    </w:p>
    <w:p w14:paraId="3A36919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（5）出席或者委派代表出席基金份额持有人大会，对基金份额持有人大会审议事项行使表决权；</w:t>
      </w:r>
    </w:p>
    <w:p w14:paraId="5A7D039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（6）查阅或者复制公开披露的基金信息资料；</w:t>
      </w:r>
    </w:p>
    <w:p w14:paraId="09004DC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（7）监督基金管理人的投资运作；</w:t>
      </w:r>
    </w:p>
    <w:p w14:paraId="6BB426B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（8）对基金管理人、基金托管人、基金服务机构损害其合法权益的行为依法提起诉讼或仲裁；</w:t>
      </w:r>
    </w:p>
    <w:p w14:paraId="793E953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（9）法律法规及中国证监会规定的和《基金合同》约定的其他权利。</w:t>
      </w:r>
    </w:p>
    <w:p w14:paraId="70EE811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2、根据《基金法》、《运作办法》及其他有关规定，基金份额持有人的义务包括但不限于：</w:t>
      </w:r>
    </w:p>
    <w:p w14:paraId="08DB5F2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（1）认真阅读并遵守《基金合同》、招募说明书等信息披露文件；</w:t>
      </w:r>
    </w:p>
    <w:p w14:paraId="62DDD7C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（2）了解所投资基金产品，了解自身风险承受能力，自主判断基金的投资价值，自主做出投资决策，自行承担投资风险；</w:t>
      </w:r>
    </w:p>
    <w:p w14:paraId="73AC804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（3）关注基金信息披露，及时行使权利和履行义务；</w:t>
      </w:r>
    </w:p>
    <w:p w14:paraId="3BC2157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（4）交纳基金认购、申购款项及法律法规和《基金合同》所规定的费用；</w:t>
      </w:r>
    </w:p>
    <w:p w14:paraId="1FBE187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（5）在其持有的基金份额范围内，承担基金亏损或者《基金合同》终止的有限责任；</w:t>
      </w:r>
    </w:p>
    <w:p w14:paraId="5ABDB42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（6）不从事任何有损基金及其他《基金合同》当事人合法权益的活动；</w:t>
      </w:r>
    </w:p>
    <w:p w14:paraId="3AB5CA2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（7）执行生效的基金份额持有人大会的决议；</w:t>
      </w:r>
    </w:p>
    <w:p w14:paraId="6B18657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（8）返还在基金交易过程中因任何原因获得的不当得利；</w:t>
      </w:r>
    </w:p>
    <w:p w14:paraId="21FAAF9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（9）法律法规及中国证监会规定的和《基金合同》约定的其他义务。</w:t>
      </w:r>
    </w:p>
    <w:p w14:paraId="292F612B" w14:textId="77777777" w:rsidR="00401986" w:rsidRDefault="00B137D7">
      <w:pPr>
        <w:pStyle w:val="1"/>
        <w:keepLines/>
        <w:pageBreakBefore/>
        <w:widowControl w:val="0"/>
        <w:spacing w:before="0" w:after="0" w:line="360" w:lineRule="auto"/>
        <w:jc w:val="center"/>
        <w:rPr>
          <w:rFonts w:ascii="Times New Roman" w:eastAsia="Times New Roman" w:hAnsi="Times New Roman" w:cs="Times New Roman"/>
        </w:rPr>
      </w:pPr>
      <w:bookmarkStart w:id="9" w:name="_Toc256000007"/>
      <w:r>
        <w:rPr>
          <w:rFonts w:ascii="宋体" w:hAnsi="宋体" w:cs="宋体"/>
          <w:kern w:val="36"/>
          <w:sz w:val="24"/>
          <w:szCs w:val="24"/>
        </w:rPr>
        <w:lastRenderedPageBreak/>
        <w:t>第八部分 基金份额持有人大会</w:t>
      </w:r>
      <w:bookmarkEnd w:id="9"/>
    </w:p>
    <w:p w14:paraId="19AF6745" w14:textId="77777777" w:rsidR="00401986" w:rsidRDefault="00401986">
      <w:pPr>
        <w:widowControl w:val="0"/>
        <w:spacing w:line="360" w:lineRule="auto"/>
        <w:jc w:val="both"/>
        <w:rPr>
          <w:rFonts w:ascii="宋体" w:hAnsi="宋体" w:cs="宋体"/>
          <w:sz w:val="21"/>
          <w:szCs w:val="21"/>
        </w:rPr>
      </w:pPr>
    </w:p>
    <w:p w14:paraId="791981D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由基金份额持有人组成，基金份额持有人的合法授权代表有权代表基金份额持有人出席会议并表决。基金份额持有人持有的每一基金份额拥有平等的投票权。本基金暂不设置日常机构，日常机构的设置和相关规则按照法律法规的有关规定进行。</w:t>
      </w:r>
    </w:p>
    <w:p w14:paraId="629691F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一、召开事由</w:t>
      </w:r>
    </w:p>
    <w:p w14:paraId="456A4C3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1、当出现或需要决定下列事由之一的，应当召开基金份额持有人大会，法律法规、中国证监会另有规定或基金合同另有约定的除外：</w:t>
      </w:r>
    </w:p>
    <w:p w14:paraId="19FB405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（1）终止《基金合同》；</w:t>
      </w:r>
    </w:p>
    <w:p w14:paraId="56DEFE7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（2）更换基金管理人；</w:t>
      </w:r>
    </w:p>
    <w:p w14:paraId="43D557C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（3）更换基金托管人；</w:t>
      </w:r>
    </w:p>
    <w:p w14:paraId="6A943AE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（4）转换基金运作方式；</w:t>
      </w:r>
    </w:p>
    <w:p w14:paraId="53A4040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w:t>
      </w:r>
      <w:r>
        <w:rPr>
          <w:rFonts w:ascii="宋体" w:hAnsi="宋体" w:cs="宋体" w:hint="eastAsia"/>
          <w:sz w:val="21"/>
          <w:szCs w:val="21"/>
        </w:rPr>
        <w:t>调整</w:t>
      </w:r>
      <w:r>
        <w:rPr>
          <w:rFonts w:ascii="宋体" w:hAnsi="宋体" w:cs="宋体"/>
          <w:sz w:val="21"/>
          <w:szCs w:val="21"/>
        </w:rPr>
        <w:t>基金管理人、基金托管人的报酬标准或提高销售服务费</w:t>
      </w:r>
      <w:r>
        <w:rPr>
          <w:rFonts w:ascii="宋体" w:hAnsi="宋体" w:cs="宋体" w:hint="eastAsia"/>
          <w:sz w:val="21"/>
          <w:szCs w:val="21"/>
        </w:rPr>
        <w:t>率</w:t>
      </w:r>
      <w:r>
        <w:rPr>
          <w:rFonts w:ascii="宋体" w:hAnsi="宋体" w:cs="宋体"/>
          <w:sz w:val="21"/>
          <w:szCs w:val="21"/>
        </w:rPr>
        <w:t>；</w:t>
      </w:r>
    </w:p>
    <w:p w14:paraId="563AAFF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（6）变更基金类别；</w:t>
      </w:r>
    </w:p>
    <w:p w14:paraId="247E995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（7）本基金与其他基金的合并；</w:t>
      </w:r>
    </w:p>
    <w:p w14:paraId="27CE427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（8）变更基金投资目标、范围或策略；</w:t>
      </w:r>
    </w:p>
    <w:p w14:paraId="2ED8226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（9）变更基金份额持有人大会程序；</w:t>
      </w:r>
    </w:p>
    <w:p w14:paraId="34AD719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（10）基金管理人或基金托管人要求召开基金份额持有人大会；</w:t>
      </w:r>
    </w:p>
    <w:p w14:paraId="7CEC487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（11）单独或合计持有本基金总份额10%以上（含10%）基金份额的基金份额持有人（以基金管理人收到提议当日的基金份额计算，下同）就同一事项书面要求召开基金份额持有人大会；</w:t>
      </w:r>
    </w:p>
    <w:p w14:paraId="0FA59C9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（12）对基金合同当事人权利和义务产生重大影响的其他事项；</w:t>
      </w:r>
    </w:p>
    <w:p w14:paraId="5F74CA6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（13）法律法规、《基金合同》或中国证监会规定的其他应当召开基金份额持有人大会的事项。</w:t>
      </w:r>
    </w:p>
    <w:p w14:paraId="1E84EBA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2、在法律法规规定和《基金合同》约定的范围内且对基金份额持有人利益无实质性不利影响的前提下，以下情况可由基金管理人和基金托管人协商后修改，不需召开基金份额持有人大会：</w:t>
      </w:r>
    </w:p>
    <w:p w14:paraId="6C51BF5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（1）法律法规要求增加的基金费用的收取；</w:t>
      </w:r>
    </w:p>
    <w:p w14:paraId="17261345" w14:textId="1650D261"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（2）调整本基金的申购费率、调低销售服务费</w:t>
      </w:r>
      <w:r>
        <w:rPr>
          <w:rFonts w:ascii="宋体" w:hAnsi="宋体" w:cs="宋体" w:hint="eastAsia"/>
          <w:sz w:val="21"/>
          <w:szCs w:val="21"/>
        </w:rPr>
        <w:t>率</w:t>
      </w:r>
      <w:r>
        <w:rPr>
          <w:rFonts w:ascii="宋体" w:hAnsi="宋体" w:cs="宋体"/>
          <w:sz w:val="21"/>
          <w:szCs w:val="21"/>
        </w:rPr>
        <w:t>或变更收费方式；</w:t>
      </w:r>
    </w:p>
    <w:p w14:paraId="2ABE0D6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（3）增加、减少、调整基金份额类别设置；</w:t>
      </w:r>
    </w:p>
    <w:p w14:paraId="5815830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（4）基金管理人、登记机构、基金销售机构调整有关认购、申购、赎回、转换、</w:t>
      </w:r>
      <w:proofErr w:type="gramStart"/>
      <w:r>
        <w:rPr>
          <w:rFonts w:ascii="宋体" w:hAnsi="宋体" w:cs="宋体"/>
          <w:sz w:val="21"/>
          <w:szCs w:val="21"/>
        </w:rPr>
        <w:t>非交易</w:t>
      </w:r>
      <w:proofErr w:type="gramEnd"/>
      <w:r>
        <w:rPr>
          <w:rFonts w:ascii="宋体" w:hAnsi="宋体" w:cs="宋体"/>
          <w:sz w:val="21"/>
          <w:szCs w:val="21"/>
        </w:rPr>
        <w:t>过户、转托管</w:t>
      </w:r>
      <w:r>
        <w:rPr>
          <w:sz w:val="21"/>
          <w:szCs w:val="21"/>
        </w:rPr>
        <w:t>、定期定额投资</w:t>
      </w:r>
      <w:r>
        <w:rPr>
          <w:rFonts w:ascii="宋体" w:hAnsi="宋体" w:cs="宋体"/>
          <w:sz w:val="21"/>
          <w:szCs w:val="21"/>
        </w:rPr>
        <w:t>等业务规则；</w:t>
      </w:r>
    </w:p>
    <w:p w14:paraId="4C51B15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（5）基金推出新业务或服务；</w:t>
      </w:r>
    </w:p>
    <w:p w14:paraId="750D16B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w:t>
      </w:r>
      <w:proofErr w:type="gramStart"/>
      <w:r>
        <w:rPr>
          <w:rFonts w:ascii="宋体" w:hAnsi="宋体" w:cs="宋体"/>
          <w:sz w:val="21"/>
          <w:szCs w:val="21"/>
        </w:rPr>
        <w:t>因相应</w:t>
      </w:r>
      <w:proofErr w:type="gramEnd"/>
      <w:r>
        <w:rPr>
          <w:rFonts w:ascii="宋体" w:hAnsi="宋体" w:cs="宋体"/>
          <w:sz w:val="21"/>
          <w:szCs w:val="21"/>
        </w:rPr>
        <w:t>的法律法规发生变动而应当对《基金合同》进行修改；</w:t>
      </w:r>
    </w:p>
    <w:p w14:paraId="122E637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lastRenderedPageBreak/>
        <w:t>（7）对《基金合同》的修改对基金份额持有人利益无实质性不利影响或修改不涉及《基金合同》当事人权利义务关系发生重大变化；</w:t>
      </w:r>
    </w:p>
    <w:p w14:paraId="18A9DFF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（8）按照法律法规和《基金合同》规定不需召开基金份额持有人大会的其他情形。</w:t>
      </w:r>
    </w:p>
    <w:p w14:paraId="4801A82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二、会议召集人及召集方式</w:t>
      </w:r>
    </w:p>
    <w:p w14:paraId="029C941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1、除法律法规规定或《基金合同》另有约定外，基金份额持有人大会由基金管理人召集。</w:t>
      </w:r>
    </w:p>
    <w:p w14:paraId="4BEA31D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2、基金管理人未按规定召集或不能召集时，由基金托管人召集。</w:t>
      </w:r>
    </w:p>
    <w:p w14:paraId="7286C5C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375DFE0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2BE7BFF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74BD3E8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6、基金份额持有人会议的召集人负责选择确定开会时间、地点、方式和权益登记日。</w:t>
      </w:r>
    </w:p>
    <w:p w14:paraId="1B139C6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三、召开基金份额持有人大会的通知时间、通知内容、通知方式</w:t>
      </w:r>
    </w:p>
    <w:p w14:paraId="5A64D90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1、召开基金份额持有人大会，召集人应于会议召开前30日，在规定媒介公告。基金份额持有人大会通知应至少载明以下内容：</w:t>
      </w:r>
    </w:p>
    <w:p w14:paraId="69E72D7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（1）会议召开的时间、地点和会议形式；</w:t>
      </w:r>
    </w:p>
    <w:p w14:paraId="64C94B4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（2）会议</w:t>
      </w:r>
      <w:proofErr w:type="gramStart"/>
      <w:r>
        <w:rPr>
          <w:rFonts w:ascii="宋体" w:hAnsi="宋体" w:cs="宋体"/>
          <w:sz w:val="21"/>
          <w:szCs w:val="21"/>
        </w:rPr>
        <w:t>拟审议</w:t>
      </w:r>
      <w:proofErr w:type="gramEnd"/>
      <w:r>
        <w:rPr>
          <w:rFonts w:ascii="宋体" w:hAnsi="宋体" w:cs="宋体"/>
          <w:sz w:val="21"/>
          <w:szCs w:val="21"/>
        </w:rPr>
        <w:t>的事项、议事程序和表决方式；</w:t>
      </w:r>
    </w:p>
    <w:p w14:paraId="195AFE4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（3）有权出席基金份额持有人大会的基金份额持有人的权益登记日；</w:t>
      </w:r>
    </w:p>
    <w:p w14:paraId="52DA995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（4）授权委托证明的内容要求（包括但不限于代理人身份，代理权限和代理有效期限等）、送达时间和地点；</w:t>
      </w:r>
    </w:p>
    <w:p w14:paraId="2738FEB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lastRenderedPageBreak/>
        <w:t>（5）会务常设联系人姓名及联系电话；</w:t>
      </w:r>
    </w:p>
    <w:p w14:paraId="508F713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（6）出席会议者必须准备的文件和必须履行的手续；</w:t>
      </w:r>
    </w:p>
    <w:p w14:paraId="29F8200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（7）召集人需要通知的其他事项。</w:t>
      </w:r>
    </w:p>
    <w:p w14:paraId="2EF28C5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29FE6B2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cs="宋体"/>
          <w:sz w:val="21"/>
          <w:szCs w:val="21"/>
        </w:rPr>
        <w:t>拒不派</w:t>
      </w:r>
      <w:proofErr w:type="gramEnd"/>
      <w:r>
        <w:rPr>
          <w:rFonts w:ascii="宋体" w:hAnsi="宋体" w:cs="宋体"/>
          <w:sz w:val="21"/>
          <w:szCs w:val="21"/>
        </w:rPr>
        <w:t>代表对书面表决意见的计票进行监督的，不影响表决意见的计票效力。</w:t>
      </w:r>
    </w:p>
    <w:p w14:paraId="20617B9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四、基金份额持有人出席会议的方式</w:t>
      </w:r>
    </w:p>
    <w:p w14:paraId="56CEB06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基金份额持有人大会可通过现场开会方式、通讯开会方式或法律法规、监管机构允许的其他方式召开，会议的召开方式由会议召集人确定。</w:t>
      </w:r>
    </w:p>
    <w:p w14:paraId="525194B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EC306A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AE2E3C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2D49EC9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0807254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在同时符合以下条件时，通讯开会的方式视为有效：</w:t>
      </w:r>
    </w:p>
    <w:p w14:paraId="152D809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（1）会议召集人按《基金合同》约定公布会议通知后，在2个工作日内连续公布相关提示性公告。</w:t>
      </w:r>
    </w:p>
    <w:p w14:paraId="0DA9EC8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（2）召集人按基金合同约定通知基金托管人（如果基金托管人为召集人，则为基金管</w:t>
      </w:r>
      <w:r>
        <w:rPr>
          <w:rFonts w:ascii="宋体" w:hAnsi="宋体" w:cs="宋体"/>
          <w:sz w:val="21"/>
          <w:szCs w:val="21"/>
        </w:rPr>
        <w:lastRenderedPageBreak/>
        <w:t>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4AE2E2A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7D1F3AE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322375E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基金份额持有人亦可以采用书面、网络、电话、短信或其他方式进行表决，具体方式由会议召集人确定并在会议通知中列明。</w:t>
      </w:r>
    </w:p>
    <w:p w14:paraId="156EEB9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五、议事内容与程序</w:t>
      </w:r>
    </w:p>
    <w:p w14:paraId="5B5012E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1、议事内容及提案权</w:t>
      </w:r>
    </w:p>
    <w:p w14:paraId="29F24A7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F1E83B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基金份额持有人大会的召集人发出召集会议的通知后，对原有提案的修改应当在基金份额持有人大会召开前及时公告。</w:t>
      </w:r>
    </w:p>
    <w:p w14:paraId="60AF622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基金份额持有人大会不得对未事先公告的议事内容进行表决。</w:t>
      </w:r>
    </w:p>
    <w:p w14:paraId="4354B91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2、议事程序</w:t>
      </w:r>
    </w:p>
    <w:p w14:paraId="244CD80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（1）现场开会</w:t>
      </w:r>
    </w:p>
    <w:p w14:paraId="330790D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w:t>
      </w:r>
      <w:r>
        <w:rPr>
          <w:rFonts w:ascii="宋体" w:hAnsi="宋体" w:cs="宋体"/>
          <w:sz w:val="21"/>
          <w:szCs w:val="21"/>
        </w:rPr>
        <w:lastRenderedPageBreak/>
        <w:t>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cs="宋体"/>
          <w:sz w:val="21"/>
          <w:szCs w:val="21"/>
        </w:rPr>
        <w:t>作出</w:t>
      </w:r>
      <w:proofErr w:type="gramEnd"/>
      <w:r>
        <w:rPr>
          <w:rFonts w:ascii="宋体" w:hAnsi="宋体" w:cs="宋体"/>
          <w:sz w:val="21"/>
          <w:szCs w:val="21"/>
        </w:rPr>
        <w:t>的决议的效力。</w:t>
      </w:r>
    </w:p>
    <w:p w14:paraId="444CEA0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会议召集人应当制作出席会议人员的签名册。签名</w:t>
      </w:r>
      <w:proofErr w:type="gramStart"/>
      <w:r>
        <w:rPr>
          <w:rFonts w:ascii="宋体" w:hAnsi="宋体" w:cs="宋体"/>
          <w:sz w:val="21"/>
          <w:szCs w:val="21"/>
        </w:rPr>
        <w:t>册</w:t>
      </w:r>
      <w:proofErr w:type="gramEnd"/>
      <w:r>
        <w:rPr>
          <w:rFonts w:ascii="宋体" w:hAnsi="宋体" w:cs="宋体"/>
          <w:sz w:val="21"/>
          <w:szCs w:val="21"/>
        </w:rPr>
        <w:t>载明参加会议人员姓名（或单位名称）、身份证明文件号码、持有或代表有表决权的基金份额、委托人姓名（或单位名称）和联系方式等事项。</w:t>
      </w:r>
    </w:p>
    <w:p w14:paraId="55BA67B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（2）通讯开会</w:t>
      </w:r>
    </w:p>
    <w:p w14:paraId="6B2A475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在通讯开会的情况下，首先由召集人提前30日公布提案，在所通知的表决截止日期后2个工作日内在公证机关监督下由召集人统计全部有效表决，在公证机关监督下形成决议。</w:t>
      </w:r>
    </w:p>
    <w:p w14:paraId="4FFF258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六、表决</w:t>
      </w:r>
    </w:p>
    <w:p w14:paraId="0A50695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基金份额持有人所持每份基金份额有一票表决权。</w:t>
      </w:r>
    </w:p>
    <w:p w14:paraId="49E6F82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基金份额持有人大会决议分为一般决议和特别决议：</w:t>
      </w:r>
    </w:p>
    <w:p w14:paraId="3CCA515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38A0909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特别决议，特别决议应当经参加大会的基金份额持有人或其代理人所持表决权的三分之二以上（含三分之二）通过方可做出。除法律法规另有规定或本基金合同另有约定的，转换基金运作方式、更换基金管理人或者基金托管人、终止《基金合同》、本基金与其他基金合并以特别决议通过方为有效。</w:t>
      </w:r>
    </w:p>
    <w:p w14:paraId="02D8AE7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基金份额持有人大会采取记名方式进行投票表决。</w:t>
      </w:r>
    </w:p>
    <w:p w14:paraId="4DAA572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1ADF904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基金份额持有人大会的各项提案或同一项提案内并列的各项议题应当分开审议、逐项表决。</w:t>
      </w:r>
    </w:p>
    <w:p w14:paraId="0DADC07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七、计票</w:t>
      </w:r>
    </w:p>
    <w:p w14:paraId="5DBE620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1、现场开会</w:t>
      </w:r>
    </w:p>
    <w:p w14:paraId="6BC4D3C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cs="宋体"/>
          <w:sz w:val="21"/>
          <w:szCs w:val="21"/>
        </w:rPr>
        <w:t>或大会</w:t>
      </w:r>
      <w:proofErr w:type="gramEnd"/>
      <w:r>
        <w:rPr>
          <w:rFonts w:ascii="宋体" w:hAnsi="宋体" w:cs="宋体"/>
          <w:sz w:val="21"/>
          <w:szCs w:val="21"/>
        </w:rPr>
        <w:t>虽然由基金管理人或基金托管人召集，但是基金管理人或基金托管人未出席大会的，基金份额持有人大会的主持人应当在会议开始后宣布在出席会议的基金份额持有人中选举三名基</w:t>
      </w:r>
      <w:r>
        <w:rPr>
          <w:rFonts w:ascii="宋体" w:hAnsi="宋体" w:cs="宋体"/>
          <w:sz w:val="21"/>
          <w:szCs w:val="21"/>
        </w:rPr>
        <w:lastRenderedPageBreak/>
        <w:t>金份额持有人代表担任监票人。基金管理人或基金托管人不出席大会的，不影响计票的效力。</w:t>
      </w:r>
    </w:p>
    <w:p w14:paraId="78FE776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（2）监票人应当在基金份额持有人表决后立即进行清点并由大会主持人当场公布计票结果。</w:t>
      </w:r>
    </w:p>
    <w:p w14:paraId="5538788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（3）如果会议主持人或基金份额持有人或代理人对于提交的表决结果有怀疑，可以在宣布表决结果后立即对所投票</w:t>
      </w:r>
      <w:proofErr w:type="gramStart"/>
      <w:r>
        <w:rPr>
          <w:rFonts w:ascii="宋体" w:hAnsi="宋体" w:cs="宋体"/>
          <w:sz w:val="21"/>
          <w:szCs w:val="21"/>
        </w:rPr>
        <w:t>数要求</w:t>
      </w:r>
      <w:proofErr w:type="gramEnd"/>
      <w:r>
        <w:rPr>
          <w:rFonts w:ascii="宋体" w:hAnsi="宋体" w:cs="宋体"/>
          <w:sz w:val="21"/>
          <w:szCs w:val="21"/>
        </w:rPr>
        <w:t>进行重新清点。监票人应当进行重新清点，重新清点以一次为限。重新清点后，大会主持人应当当场公布重新清点结果。</w:t>
      </w:r>
    </w:p>
    <w:p w14:paraId="7274841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（4）计票过程应由公证机关予以公证，基金管理人或基金托管人拒不出席大会的，不影响计票的效力。</w:t>
      </w:r>
    </w:p>
    <w:p w14:paraId="7AFD722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2、通讯开会</w:t>
      </w:r>
    </w:p>
    <w:p w14:paraId="68101FF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cs="宋体"/>
          <w:sz w:val="21"/>
          <w:szCs w:val="21"/>
        </w:rPr>
        <w:t>人拒派</w:t>
      </w:r>
      <w:proofErr w:type="gramEnd"/>
      <w:r>
        <w:rPr>
          <w:rFonts w:ascii="宋体" w:hAnsi="宋体" w:cs="宋体"/>
          <w:sz w:val="21"/>
          <w:szCs w:val="21"/>
        </w:rPr>
        <w:t>代表对书面表决意见的计票进行监督的，不影响计票和表决结果。</w:t>
      </w:r>
    </w:p>
    <w:p w14:paraId="4DA67D8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八、生效与公告</w:t>
      </w:r>
    </w:p>
    <w:p w14:paraId="072A6C2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基金份额持有人大会的决议，召集人应当自通过之日起5日内报中国证监会备案。</w:t>
      </w:r>
    </w:p>
    <w:p w14:paraId="0182D76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基金份额持有人大会的决议自表决通过之日起生效。</w:t>
      </w:r>
    </w:p>
    <w:p w14:paraId="138F353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基金份额持有人大会决议自生效之日起2日内在规定媒介上公告。</w:t>
      </w:r>
    </w:p>
    <w:p w14:paraId="77FA00F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基金管理人、基金托管人和基金份额持有人应当执行生效的基金份额持有人大会的决议。生效的基金份额持有人大会决议对全体基金份额持有人、基金管理人、基金托管人均有约束力。</w:t>
      </w:r>
    </w:p>
    <w:p w14:paraId="4D03AB4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九、实施</w:t>
      </w:r>
      <w:proofErr w:type="gramStart"/>
      <w:r>
        <w:rPr>
          <w:rFonts w:ascii="宋体" w:hAnsi="宋体" w:cs="宋体"/>
          <w:sz w:val="21"/>
          <w:szCs w:val="21"/>
        </w:rPr>
        <w:t>侧袋机制</w:t>
      </w:r>
      <w:proofErr w:type="gramEnd"/>
      <w:r>
        <w:rPr>
          <w:rFonts w:ascii="宋体" w:hAnsi="宋体" w:cs="宋体"/>
          <w:sz w:val="21"/>
          <w:szCs w:val="21"/>
        </w:rPr>
        <w:t>期间基金份额持有人大会的特殊约定</w:t>
      </w:r>
    </w:p>
    <w:p w14:paraId="20CDC29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若本基金</w:t>
      </w:r>
      <w:proofErr w:type="gramStart"/>
      <w:r>
        <w:rPr>
          <w:rFonts w:ascii="宋体" w:hAnsi="宋体" w:cs="宋体"/>
          <w:sz w:val="21"/>
          <w:szCs w:val="21"/>
        </w:rPr>
        <w:t>实施侧袋机制</w:t>
      </w:r>
      <w:proofErr w:type="gramEnd"/>
      <w:r>
        <w:rPr>
          <w:rFonts w:ascii="宋体" w:hAnsi="宋体" w:cs="宋体"/>
          <w:sz w:val="21"/>
          <w:szCs w:val="21"/>
        </w:rPr>
        <w:t>，</w:t>
      </w:r>
      <w:proofErr w:type="gramStart"/>
      <w:r>
        <w:rPr>
          <w:rFonts w:ascii="宋体" w:hAnsi="宋体" w:cs="宋体"/>
          <w:sz w:val="21"/>
          <w:szCs w:val="21"/>
        </w:rPr>
        <w:t>则相</w:t>
      </w:r>
      <w:proofErr w:type="gramEnd"/>
      <w:r>
        <w:rPr>
          <w:rFonts w:ascii="宋体" w:hAnsi="宋体" w:cs="宋体"/>
          <w:sz w:val="21"/>
          <w:szCs w:val="21"/>
        </w:rPr>
        <w:t>关基金份额或表决权的比例</w:t>
      </w:r>
      <w:proofErr w:type="gramStart"/>
      <w:r>
        <w:rPr>
          <w:rFonts w:ascii="宋体" w:hAnsi="宋体" w:cs="宋体"/>
          <w:sz w:val="21"/>
          <w:szCs w:val="21"/>
        </w:rPr>
        <w:t>指主袋份</w:t>
      </w:r>
      <w:proofErr w:type="gramEnd"/>
      <w:r>
        <w:rPr>
          <w:rFonts w:ascii="宋体" w:hAnsi="宋体" w:cs="宋体"/>
          <w:sz w:val="21"/>
          <w:szCs w:val="21"/>
        </w:rPr>
        <w:t>额持有</w:t>
      </w:r>
      <w:proofErr w:type="gramStart"/>
      <w:r>
        <w:rPr>
          <w:rFonts w:ascii="宋体" w:hAnsi="宋体" w:cs="宋体"/>
          <w:sz w:val="21"/>
          <w:szCs w:val="21"/>
        </w:rPr>
        <w:t>人和侧袋份</w:t>
      </w:r>
      <w:proofErr w:type="gramEnd"/>
      <w:r>
        <w:rPr>
          <w:rFonts w:ascii="宋体" w:hAnsi="宋体" w:cs="宋体"/>
          <w:sz w:val="21"/>
          <w:szCs w:val="21"/>
        </w:rPr>
        <w:t>额持有人分别持有或代表的基金份额或表决权符合该等比例，但</w:t>
      </w:r>
      <w:proofErr w:type="gramStart"/>
      <w:r>
        <w:rPr>
          <w:rFonts w:ascii="宋体" w:hAnsi="宋体" w:cs="宋体"/>
          <w:sz w:val="21"/>
          <w:szCs w:val="21"/>
        </w:rPr>
        <w:t>若相</w:t>
      </w:r>
      <w:proofErr w:type="gramEnd"/>
      <w:r>
        <w:rPr>
          <w:rFonts w:ascii="宋体" w:hAnsi="宋体" w:cs="宋体"/>
          <w:sz w:val="21"/>
          <w:szCs w:val="21"/>
        </w:rPr>
        <w:t>关基金份额持有人大会召集和审议事项不</w:t>
      </w:r>
      <w:proofErr w:type="gramStart"/>
      <w:r>
        <w:rPr>
          <w:rFonts w:ascii="宋体" w:hAnsi="宋体" w:cs="宋体"/>
          <w:sz w:val="21"/>
          <w:szCs w:val="21"/>
        </w:rPr>
        <w:t>涉及侧袋账</w:t>
      </w:r>
      <w:proofErr w:type="gramEnd"/>
      <w:r>
        <w:rPr>
          <w:rFonts w:ascii="宋体" w:hAnsi="宋体" w:cs="宋体"/>
          <w:sz w:val="21"/>
          <w:szCs w:val="21"/>
        </w:rPr>
        <w:t>户的，则仅</w:t>
      </w:r>
      <w:proofErr w:type="gramStart"/>
      <w:r>
        <w:rPr>
          <w:rFonts w:ascii="宋体" w:hAnsi="宋体" w:cs="宋体"/>
          <w:sz w:val="21"/>
          <w:szCs w:val="21"/>
        </w:rPr>
        <w:t>指主袋份</w:t>
      </w:r>
      <w:proofErr w:type="gramEnd"/>
      <w:r>
        <w:rPr>
          <w:rFonts w:ascii="宋体" w:hAnsi="宋体" w:cs="宋体"/>
          <w:sz w:val="21"/>
          <w:szCs w:val="21"/>
        </w:rPr>
        <w:t>额持有人持有或代表的基金份额或表决权符合该等比例：</w:t>
      </w:r>
    </w:p>
    <w:p w14:paraId="10AEFCD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1、基金份额持有人行使提议权、召集权、提名权所需单独或合计代表相关基金份额10%以上（含10%）；</w:t>
      </w:r>
    </w:p>
    <w:p w14:paraId="2427743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2、现场开会的到会者在权益登记日代表的基金份额不少于本基金在权益登记</w:t>
      </w:r>
      <w:proofErr w:type="gramStart"/>
      <w:r>
        <w:rPr>
          <w:rFonts w:ascii="宋体" w:hAnsi="宋体" w:cs="宋体"/>
          <w:sz w:val="21"/>
          <w:szCs w:val="21"/>
        </w:rPr>
        <w:t>日相关</w:t>
      </w:r>
      <w:proofErr w:type="gramEnd"/>
      <w:r>
        <w:rPr>
          <w:rFonts w:ascii="宋体" w:hAnsi="宋体" w:cs="宋体"/>
          <w:sz w:val="21"/>
          <w:szCs w:val="21"/>
        </w:rPr>
        <w:t>基金份额的二分之一（含二分之一）；</w:t>
      </w:r>
    </w:p>
    <w:p w14:paraId="18A32CB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3、通讯开会的直接出具书面意见或授权他人代表出具书面意见的基金份额持有人所持有的基金份额不小于在权益登记</w:t>
      </w:r>
      <w:proofErr w:type="gramStart"/>
      <w:r>
        <w:rPr>
          <w:rFonts w:ascii="宋体" w:hAnsi="宋体" w:cs="宋体"/>
          <w:sz w:val="21"/>
          <w:szCs w:val="21"/>
        </w:rPr>
        <w:t>日相关</w:t>
      </w:r>
      <w:proofErr w:type="gramEnd"/>
      <w:r>
        <w:rPr>
          <w:rFonts w:ascii="宋体" w:hAnsi="宋体" w:cs="宋体"/>
          <w:sz w:val="21"/>
          <w:szCs w:val="21"/>
        </w:rPr>
        <w:t>基金份额的二分之一（含二分之一）；</w:t>
      </w:r>
    </w:p>
    <w:p w14:paraId="46F7392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4、在参与基金份额持有人大会投票的基金份额持有人所持有的基金份额小于在权益登记</w:t>
      </w:r>
      <w:proofErr w:type="gramStart"/>
      <w:r>
        <w:rPr>
          <w:rFonts w:ascii="宋体" w:hAnsi="宋体" w:cs="宋体"/>
          <w:sz w:val="21"/>
          <w:szCs w:val="21"/>
        </w:rPr>
        <w:t>日相关</w:t>
      </w:r>
      <w:proofErr w:type="gramEnd"/>
      <w:r>
        <w:rPr>
          <w:rFonts w:ascii="宋体" w:hAnsi="宋体" w:cs="宋体"/>
          <w:sz w:val="21"/>
          <w:szCs w:val="21"/>
        </w:rPr>
        <w:t>基金份额的二分之一、召集人在原公告的基金份额持有人大会召开时间的3个月</w:t>
      </w:r>
      <w:r>
        <w:rPr>
          <w:rFonts w:ascii="宋体" w:hAnsi="宋体" w:cs="宋体"/>
          <w:sz w:val="21"/>
          <w:szCs w:val="21"/>
        </w:rPr>
        <w:lastRenderedPageBreak/>
        <w:t>以后、6个月以内就原定审议事项重新召集的基金份额持有人大会应当有代表三分之一以上（含三分之一）相关基金份额的持有人参与或授权他人参与基金份额持有人大会投票；</w:t>
      </w:r>
    </w:p>
    <w:p w14:paraId="1559653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5、现场开会由出席大会的基金份额持有人和代理人所持表决权的50%以上（含50%）选举产生一名基金份额持有人作为该次基金份额持有人大会的主持人；</w:t>
      </w:r>
    </w:p>
    <w:p w14:paraId="218DB29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6、一般决议须经参加大会的基金份额持有人或其代理人所持表决权的二分之一以上（含二分之一）通过；</w:t>
      </w:r>
    </w:p>
    <w:p w14:paraId="54095E7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7、特别决议应当经参加大会的基金份额持有人或其代理人所持表决权的三分之二以上（含三分之二）通过。</w:t>
      </w:r>
    </w:p>
    <w:p w14:paraId="0679CEA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同</w:t>
      </w:r>
      <w:proofErr w:type="gramStart"/>
      <w:r>
        <w:rPr>
          <w:rFonts w:ascii="宋体" w:hAnsi="宋体" w:cs="宋体"/>
          <w:sz w:val="21"/>
          <w:szCs w:val="21"/>
        </w:rPr>
        <w:t>一主侧袋账户</w:t>
      </w:r>
      <w:proofErr w:type="gramEnd"/>
      <w:r>
        <w:rPr>
          <w:rFonts w:ascii="宋体" w:hAnsi="宋体" w:cs="宋体"/>
          <w:sz w:val="21"/>
          <w:szCs w:val="21"/>
        </w:rPr>
        <w:t>内的每份基金份额具有平等的表决权。</w:t>
      </w:r>
    </w:p>
    <w:p w14:paraId="09F8B05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十、本部</w:t>
      </w:r>
      <w:proofErr w:type="gramStart"/>
      <w:r>
        <w:rPr>
          <w:rFonts w:ascii="宋体" w:hAnsi="宋体" w:cs="宋体"/>
          <w:sz w:val="21"/>
          <w:szCs w:val="21"/>
        </w:rPr>
        <w:t>分关于</w:t>
      </w:r>
      <w:proofErr w:type="gramEnd"/>
      <w:r>
        <w:rPr>
          <w:rFonts w:ascii="宋体" w:hAnsi="宋体" w:cs="宋体"/>
          <w:sz w:val="21"/>
          <w:szCs w:val="21"/>
        </w:rPr>
        <w:t>基金份额持有人大会召开事由、召开条件、议事程序、表决条件等规定，凡是直接引用法律法规或监管规则的部分，如将来法律法规或监管规则修改导致相关内容被取消或变更的，基金管理人按照《信息披露办法》的规定公告后，可直接对本部分内容进行修改和调整，无需召开基金份额持有人大会审议。</w:t>
      </w:r>
    </w:p>
    <w:p w14:paraId="24918F69" w14:textId="77777777" w:rsidR="00401986" w:rsidRDefault="00B137D7">
      <w:pPr>
        <w:pStyle w:val="1"/>
        <w:keepLines/>
        <w:pageBreakBefore/>
        <w:widowControl w:val="0"/>
        <w:spacing w:before="210" w:after="0" w:line="360" w:lineRule="auto"/>
        <w:jc w:val="center"/>
        <w:rPr>
          <w:rFonts w:ascii="Times New Roman" w:eastAsia="Times New Roman" w:hAnsi="Times New Roman" w:cs="Times New Roman"/>
        </w:rPr>
      </w:pPr>
      <w:bookmarkStart w:id="10" w:name="_Toc256000008"/>
      <w:r>
        <w:rPr>
          <w:rFonts w:ascii="宋体" w:hAnsi="宋体" w:cs="宋体"/>
          <w:kern w:val="36"/>
          <w:sz w:val="24"/>
          <w:szCs w:val="24"/>
        </w:rPr>
        <w:lastRenderedPageBreak/>
        <w:t>第九部分 基金管理人、基金托管人的更换条件和程序</w:t>
      </w:r>
      <w:bookmarkEnd w:id="10"/>
    </w:p>
    <w:p w14:paraId="7F378383" w14:textId="77777777" w:rsidR="00401986" w:rsidRDefault="00401986">
      <w:pPr>
        <w:widowControl w:val="0"/>
        <w:spacing w:line="360" w:lineRule="auto"/>
        <w:jc w:val="both"/>
        <w:rPr>
          <w:rFonts w:ascii="宋体" w:hAnsi="宋体" w:cs="宋体"/>
          <w:sz w:val="21"/>
          <w:szCs w:val="21"/>
        </w:rPr>
      </w:pPr>
    </w:p>
    <w:p w14:paraId="0FBD26A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一、基金管理人和基金托管人职责终止的情形</w:t>
      </w:r>
    </w:p>
    <w:p w14:paraId="6680F4C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（一）基金管理人职责终止的情形</w:t>
      </w:r>
    </w:p>
    <w:p w14:paraId="7C3BC99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有下列情形之一的，基金管理人职责终止：</w:t>
      </w:r>
    </w:p>
    <w:p w14:paraId="1CB1886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1、被依法取消基金管理资格；</w:t>
      </w:r>
    </w:p>
    <w:p w14:paraId="61CA126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2、被基金份额持有人大会解任；</w:t>
      </w:r>
    </w:p>
    <w:p w14:paraId="203114D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3、依法解散、被依法撤销或被依法宣告破产；</w:t>
      </w:r>
    </w:p>
    <w:p w14:paraId="15F88B7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4、法律法规及中国证监会规定的和《基金合同》约定的其他情形。</w:t>
      </w:r>
    </w:p>
    <w:p w14:paraId="7B0C140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（二）基金托管人职责终止的情形</w:t>
      </w:r>
    </w:p>
    <w:p w14:paraId="19690D5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有下列情形之一的，基金托管人职责终止：</w:t>
      </w:r>
    </w:p>
    <w:p w14:paraId="6E30758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1、被依法取消基金托管资格；</w:t>
      </w:r>
    </w:p>
    <w:p w14:paraId="5419901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2、被基金份额持有人大会解任；</w:t>
      </w:r>
    </w:p>
    <w:p w14:paraId="73BA7AE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3、依法解散、被依法撤销或被依法宣告破产；</w:t>
      </w:r>
    </w:p>
    <w:p w14:paraId="5408FB7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4、法律法规及中国证监会规定的和《基金合同》约定的其他情形。</w:t>
      </w:r>
    </w:p>
    <w:p w14:paraId="77A46D5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二、基金管理人和基金托管人的更换程序</w:t>
      </w:r>
    </w:p>
    <w:p w14:paraId="7A0332F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（一）基金管理人的更换程序</w:t>
      </w:r>
    </w:p>
    <w:p w14:paraId="67C6121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1、提名：</w:t>
      </w:r>
      <w:proofErr w:type="gramStart"/>
      <w:r>
        <w:rPr>
          <w:rFonts w:ascii="宋体" w:hAnsi="宋体" w:cs="宋体"/>
          <w:sz w:val="21"/>
          <w:szCs w:val="21"/>
        </w:rPr>
        <w:t>新任基金</w:t>
      </w:r>
      <w:proofErr w:type="gramEnd"/>
      <w:r>
        <w:rPr>
          <w:rFonts w:ascii="宋体" w:hAnsi="宋体" w:cs="宋体"/>
          <w:sz w:val="21"/>
          <w:szCs w:val="21"/>
        </w:rPr>
        <w:t>管理人由基金托管人或由单独或合计持有10%以上（含10%）基金份额的基金份额持有人提名；</w:t>
      </w:r>
    </w:p>
    <w:p w14:paraId="34B1657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148E169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3、临时基金管理人：</w:t>
      </w:r>
      <w:proofErr w:type="gramStart"/>
      <w:r>
        <w:rPr>
          <w:rFonts w:ascii="宋体" w:hAnsi="宋体" w:cs="宋体"/>
          <w:sz w:val="21"/>
          <w:szCs w:val="21"/>
        </w:rPr>
        <w:t>新任基金</w:t>
      </w:r>
      <w:proofErr w:type="gramEnd"/>
      <w:r>
        <w:rPr>
          <w:rFonts w:ascii="宋体" w:hAnsi="宋体" w:cs="宋体"/>
          <w:sz w:val="21"/>
          <w:szCs w:val="21"/>
        </w:rPr>
        <w:t>管理人产生之前，由中国证监会指定临时基金管理人；</w:t>
      </w:r>
    </w:p>
    <w:p w14:paraId="2A04831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4、备案：基金份额持有人大会更换基金管理人的决议须报中国证监会备案；</w:t>
      </w:r>
    </w:p>
    <w:p w14:paraId="0A257E4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5、公告：基金管理人更换后，由基金托管人在更换基金管理人的基金份额持有人大会决议生效后2日内在规定媒介公告；</w:t>
      </w:r>
    </w:p>
    <w:p w14:paraId="5B69D50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6、交接：基金管理人职责终止的，基金管理人应妥善保管基金管理业务资料，及时向临时基金管理人或</w:t>
      </w:r>
      <w:proofErr w:type="gramStart"/>
      <w:r>
        <w:rPr>
          <w:rFonts w:ascii="宋体" w:hAnsi="宋体" w:cs="宋体"/>
          <w:sz w:val="21"/>
          <w:szCs w:val="21"/>
        </w:rPr>
        <w:t>新任基金</w:t>
      </w:r>
      <w:proofErr w:type="gramEnd"/>
      <w:r>
        <w:rPr>
          <w:rFonts w:ascii="宋体" w:hAnsi="宋体" w:cs="宋体"/>
          <w:sz w:val="21"/>
          <w:szCs w:val="21"/>
        </w:rPr>
        <w:t>管理人办理基金管理业务的移交手续，临时基金管理人或</w:t>
      </w:r>
      <w:proofErr w:type="gramStart"/>
      <w:r>
        <w:rPr>
          <w:rFonts w:ascii="宋体" w:hAnsi="宋体" w:cs="宋体"/>
          <w:sz w:val="21"/>
          <w:szCs w:val="21"/>
        </w:rPr>
        <w:t>新任基</w:t>
      </w:r>
      <w:proofErr w:type="gramEnd"/>
      <w:r>
        <w:rPr>
          <w:rFonts w:ascii="宋体" w:hAnsi="宋体" w:cs="宋体"/>
          <w:sz w:val="21"/>
          <w:szCs w:val="21"/>
        </w:rPr>
        <w:t>金管理人应及时接收。临时基金管理人或</w:t>
      </w:r>
      <w:proofErr w:type="gramStart"/>
      <w:r>
        <w:rPr>
          <w:rFonts w:ascii="宋体" w:hAnsi="宋体" w:cs="宋体"/>
          <w:sz w:val="21"/>
          <w:szCs w:val="21"/>
        </w:rPr>
        <w:t>新任基金</w:t>
      </w:r>
      <w:proofErr w:type="gramEnd"/>
      <w:r>
        <w:rPr>
          <w:rFonts w:ascii="宋体" w:hAnsi="宋体" w:cs="宋体"/>
          <w:sz w:val="21"/>
          <w:szCs w:val="21"/>
        </w:rPr>
        <w:t>管理人应与基金托管人核对基金资产总值和基金资产净值；</w:t>
      </w:r>
    </w:p>
    <w:p w14:paraId="061EAE6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7、审计：基金管理人职责终止的，应当按照法律法规规定聘请会计师事务所对基金财产进行审计，并将审计结果予以公告，同时报中国证监会备案，审计费用从基金财产中列支；</w:t>
      </w:r>
    </w:p>
    <w:p w14:paraId="6215BA7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lastRenderedPageBreak/>
        <w:t>8、基金名称变更：基金管理人更换后，如果原任或</w:t>
      </w:r>
      <w:proofErr w:type="gramStart"/>
      <w:r>
        <w:rPr>
          <w:rFonts w:ascii="宋体" w:hAnsi="宋体" w:cs="宋体"/>
          <w:sz w:val="21"/>
          <w:szCs w:val="21"/>
        </w:rPr>
        <w:t>新任基金</w:t>
      </w:r>
      <w:proofErr w:type="gramEnd"/>
      <w:r>
        <w:rPr>
          <w:rFonts w:ascii="宋体" w:hAnsi="宋体" w:cs="宋体"/>
          <w:sz w:val="21"/>
          <w:szCs w:val="21"/>
        </w:rPr>
        <w:t>管理人要求，应按其要求替换或删除基金名称中与原</w:t>
      </w:r>
      <w:r>
        <w:rPr>
          <w:rFonts w:ascii="宋体" w:hAnsi="宋体" w:cs="宋体" w:hint="eastAsia"/>
          <w:sz w:val="21"/>
          <w:szCs w:val="21"/>
        </w:rPr>
        <w:t>任</w:t>
      </w:r>
      <w:r>
        <w:rPr>
          <w:rFonts w:ascii="宋体" w:hAnsi="宋体" w:cs="宋体"/>
          <w:sz w:val="21"/>
          <w:szCs w:val="21"/>
        </w:rPr>
        <w:t>基金管理人有关的名称字样。</w:t>
      </w:r>
    </w:p>
    <w:p w14:paraId="769EB27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（二）基金托管人的更换程序</w:t>
      </w:r>
    </w:p>
    <w:p w14:paraId="4131F75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1、提名：</w:t>
      </w:r>
      <w:proofErr w:type="gramStart"/>
      <w:r>
        <w:rPr>
          <w:rFonts w:ascii="宋体" w:hAnsi="宋体" w:cs="宋体"/>
          <w:sz w:val="21"/>
          <w:szCs w:val="21"/>
        </w:rPr>
        <w:t>新任基金</w:t>
      </w:r>
      <w:proofErr w:type="gramEnd"/>
      <w:r>
        <w:rPr>
          <w:rFonts w:ascii="宋体" w:hAnsi="宋体" w:cs="宋体"/>
          <w:sz w:val="21"/>
          <w:szCs w:val="21"/>
        </w:rPr>
        <w:t>托管人由基金管理人或由单独或合计持有10%以上（含10%）基金份额的基金份额持有人提名；</w:t>
      </w:r>
    </w:p>
    <w:p w14:paraId="34E9C827" w14:textId="77777777" w:rsidR="00401986" w:rsidRDefault="00B137D7" w:rsidP="00F939A2">
      <w:pPr>
        <w:widowControl w:val="0"/>
        <w:spacing w:line="360" w:lineRule="auto"/>
        <w:ind w:firstLineChars="200" w:firstLine="420"/>
        <w:jc w:val="both"/>
        <w:rPr>
          <w:rFonts w:ascii="宋体" w:hAnsi="宋体" w:cs="宋体"/>
          <w:sz w:val="21"/>
          <w:szCs w:val="21"/>
        </w:rPr>
      </w:pPr>
      <w:r>
        <w:rPr>
          <w:rFonts w:ascii="宋体" w:hAnsi="宋体" w:cs="宋体"/>
          <w:sz w:val="21"/>
          <w:szCs w:val="21"/>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07B03EF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3、临时基金托管人：</w:t>
      </w:r>
      <w:proofErr w:type="gramStart"/>
      <w:r>
        <w:rPr>
          <w:rFonts w:ascii="宋体" w:hAnsi="宋体" w:cs="宋体"/>
          <w:sz w:val="21"/>
          <w:szCs w:val="21"/>
        </w:rPr>
        <w:t>新任基金</w:t>
      </w:r>
      <w:proofErr w:type="gramEnd"/>
      <w:r>
        <w:rPr>
          <w:rFonts w:ascii="宋体" w:hAnsi="宋体" w:cs="宋体"/>
          <w:sz w:val="21"/>
          <w:szCs w:val="21"/>
        </w:rPr>
        <w:t>托管人产生之前，由中国证监会指定临时基金托管人；</w:t>
      </w:r>
    </w:p>
    <w:p w14:paraId="0F6C1F1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4、备案：基金份额持有人大会更换基金托管人的决议须报中国证监会备案；</w:t>
      </w:r>
    </w:p>
    <w:p w14:paraId="41F15FE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5、公告：基金托管人更换后，由基金管理人在更换基金托管人的基金份额持有人大会决议生效后2日内在规定媒介公告；</w:t>
      </w:r>
    </w:p>
    <w:p w14:paraId="63F9747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6、交接：基金托管人职责终止的，应当妥善保管基金财产和基金托管业务资料，及时办理基金财产和基金托管业务的移交手续，临时基金托管人或者</w:t>
      </w:r>
      <w:proofErr w:type="gramStart"/>
      <w:r>
        <w:rPr>
          <w:rFonts w:ascii="宋体" w:hAnsi="宋体" w:cs="宋体"/>
          <w:sz w:val="21"/>
          <w:szCs w:val="21"/>
        </w:rPr>
        <w:t>新任基金</w:t>
      </w:r>
      <w:proofErr w:type="gramEnd"/>
      <w:r>
        <w:rPr>
          <w:rFonts w:ascii="宋体" w:hAnsi="宋体" w:cs="宋体"/>
          <w:sz w:val="21"/>
          <w:szCs w:val="21"/>
        </w:rPr>
        <w:t>托管人应当及时接收。临时基金托管人或者</w:t>
      </w:r>
      <w:proofErr w:type="gramStart"/>
      <w:r>
        <w:rPr>
          <w:rFonts w:ascii="宋体" w:hAnsi="宋体" w:cs="宋体"/>
          <w:sz w:val="21"/>
          <w:szCs w:val="21"/>
        </w:rPr>
        <w:t>新任基金</w:t>
      </w:r>
      <w:proofErr w:type="gramEnd"/>
      <w:r>
        <w:rPr>
          <w:rFonts w:ascii="宋体" w:hAnsi="宋体" w:cs="宋体"/>
          <w:sz w:val="21"/>
          <w:szCs w:val="21"/>
        </w:rPr>
        <w:t>托管人与基金管理人核对基金资产总值和基金资产净值；</w:t>
      </w:r>
    </w:p>
    <w:p w14:paraId="73F4E41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7、审计：基金托管人职责终止的，应当按照法律法规规定聘请会计师事务所对基金财产进行审计，并将审计结果予以公告，同时报中国证监会备案，审计费用从基金财产中列支。</w:t>
      </w:r>
    </w:p>
    <w:p w14:paraId="14E067A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（三）基金管理人与基金托管人同时更换的条件和程序</w:t>
      </w:r>
    </w:p>
    <w:p w14:paraId="7FF47AC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1、提名：如果基金管理人和基金托管人同时更换，由单独或合计持有基金总份额10%以上（含10%）的基金份额持有人提名新的基金管理人和基金托管人；</w:t>
      </w:r>
    </w:p>
    <w:p w14:paraId="6116343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2、基金管理人和基金托管人的更换分别按上述程序进行；</w:t>
      </w:r>
    </w:p>
    <w:p w14:paraId="2BDD6C8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3、公告：</w:t>
      </w:r>
      <w:proofErr w:type="gramStart"/>
      <w:r>
        <w:rPr>
          <w:rFonts w:ascii="宋体" w:hAnsi="宋体" w:cs="宋体"/>
          <w:sz w:val="21"/>
          <w:szCs w:val="21"/>
        </w:rPr>
        <w:t>新任基金</w:t>
      </w:r>
      <w:proofErr w:type="gramEnd"/>
      <w:r>
        <w:rPr>
          <w:rFonts w:ascii="宋体" w:hAnsi="宋体" w:cs="宋体"/>
          <w:sz w:val="21"/>
          <w:szCs w:val="21"/>
        </w:rPr>
        <w:t>管理人和</w:t>
      </w:r>
      <w:proofErr w:type="gramStart"/>
      <w:r>
        <w:rPr>
          <w:rFonts w:ascii="宋体" w:hAnsi="宋体" w:cs="宋体"/>
          <w:sz w:val="21"/>
          <w:szCs w:val="21"/>
        </w:rPr>
        <w:t>新任基</w:t>
      </w:r>
      <w:proofErr w:type="gramEnd"/>
      <w:r>
        <w:rPr>
          <w:rFonts w:ascii="宋体" w:hAnsi="宋体" w:cs="宋体"/>
          <w:sz w:val="21"/>
          <w:szCs w:val="21"/>
        </w:rPr>
        <w:t>金托管人应在更换基金管理人和基金托管人的基金份额持有人大会决议生效后2日内在规定媒介上联合公告。</w:t>
      </w:r>
    </w:p>
    <w:p w14:paraId="689A703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三、临时基金管理人或</w:t>
      </w:r>
      <w:proofErr w:type="gramStart"/>
      <w:r>
        <w:rPr>
          <w:rFonts w:ascii="宋体" w:hAnsi="宋体" w:cs="宋体"/>
          <w:sz w:val="21"/>
          <w:szCs w:val="21"/>
        </w:rPr>
        <w:t>新任基金</w:t>
      </w:r>
      <w:proofErr w:type="gramEnd"/>
      <w:r>
        <w:rPr>
          <w:rFonts w:ascii="宋体" w:hAnsi="宋体" w:cs="宋体"/>
          <w:sz w:val="21"/>
          <w:szCs w:val="21"/>
        </w:rPr>
        <w:t>管理人接收基金管理业务或临时基金托管人或</w:t>
      </w:r>
      <w:proofErr w:type="gramStart"/>
      <w:r>
        <w:rPr>
          <w:rFonts w:ascii="宋体" w:hAnsi="宋体" w:cs="宋体"/>
          <w:sz w:val="21"/>
          <w:szCs w:val="21"/>
        </w:rPr>
        <w:t>新任基</w:t>
      </w:r>
      <w:proofErr w:type="gramEnd"/>
      <w:r>
        <w:rPr>
          <w:rFonts w:ascii="宋体" w:hAnsi="宋体" w:cs="宋体"/>
          <w:sz w:val="21"/>
          <w:szCs w:val="21"/>
        </w:rPr>
        <w:t>金托管人接收基金财产和基金托管业务前，原</w:t>
      </w:r>
      <w:r>
        <w:rPr>
          <w:rFonts w:ascii="宋体" w:hAnsi="宋体" w:cs="宋体" w:hint="eastAsia"/>
          <w:sz w:val="21"/>
          <w:szCs w:val="21"/>
        </w:rPr>
        <w:t>任</w:t>
      </w:r>
      <w:r>
        <w:rPr>
          <w:rFonts w:ascii="宋体" w:hAnsi="宋体" w:cs="宋体"/>
          <w:sz w:val="21"/>
          <w:szCs w:val="21"/>
        </w:rPr>
        <w:t>基金管理人或原</w:t>
      </w:r>
      <w:r>
        <w:rPr>
          <w:rFonts w:ascii="宋体" w:hAnsi="宋体" w:cs="宋体" w:hint="eastAsia"/>
          <w:sz w:val="21"/>
          <w:szCs w:val="21"/>
        </w:rPr>
        <w:t>任</w:t>
      </w:r>
      <w:r>
        <w:rPr>
          <w:rFonts w:ascii="宋体" w:hAnsi="宋体" w:cs="宋体"/>
          <w:sz w:val="21"/>
          <w:szCs w:val="21"/>
        </w:rPr>
        <w:t>基金托管人应依据法律法规和《基金合同》的规定继续履行相关职责，并保证不对基金份额持有人的利益造成损害。原</w:t>
      </w:r>
      <w:r>
        <w:rPr>
          <w:rFonts w:ascii="宋体" w:hAnsi="宋体" w:cs="宋体" w:hint="eastAsia"/>
          <w:sz w:val="21"/>
          <w:szCs w:val="21"/>
        </w:rPr>
        <w:t>任</w:t>
      </w:r>
      <w:r>
        <w:rPr>
          <w:rFonts w:ascii="宋体" w:hAnsi="宋体" w:cs="宋体"/>
          <w:sz w:val="21"/>
          <w:szCs w:val="21"/>
        </w:rPr>
        <w:t>基金管理人或原</w:t>
      </w:r>
      <w:r>
        <w:rPr>
          <w:rFonts w:ascii="宋体" w:hAnsi="宋体" w:cs="宋体" w:hint="eastAsia"/>
          <w:sz w:val="21"/>
          <w:szCs w:val="21"/>
        </w:rPr>
        <w:t>任</w:t>
      </w:r>
      <w:r>
        <w:rPr>
          <w:rFonts w:ascii="宋体" w:hAnsi="宋体" w:cs="宋体"/>
          <w:sz w:val="21"/>
          <w:szCs w:val="21"/>
        </w:rPr>
        <w:t>基金托管人在继续履行相关职责期间，仍有权按照《基金合同》的规定收取基金管理费或基金托管费。</w:t>
      </w:r>
    </w:p>
    <w:p w14:paraId="07D06FD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四、本部</w:t>
      </w:r>
      <w:proofErr w:type="gramStart"/>
      <w:r>
        <w:rPr>
          <w:rFonts w:ascii="宋体" w:hAnsi="宋体" w:cs="宋体"/>
          <w:sz w:val="21"/>
          <w:szCs w:val="21"/>
        </w:rPr>
        <w:t>分关于</w:t>
      </w:r>
      <w:proofErr w:type="gramEnd"/>
      <w:r>
        <w:rPr>
          <w:rFonts w:ascii="宋体" w:hAnsi="宋体" w:cs="宋体"/>
          <w:sz w:val="21"/>
          <w:szCs w:val="21"/>
        </w:rPr>
        <w:t>基金管理人、基金托管人更换条件和程序的约定，凡是直接引用法律法规或监管规则的部分，如法律法规或监管规则修改导致相关内容被取消或变更的，基金管理人与基金托管人协商一致并公告后，可直接对相应内容进行修改和调整，无需召开基金份额持有人大会审议。</w:t>
      </w:r>
    </w:p>
    <w:p w14:paraId="625E3303" w14:textId="77777777" w:rsidR="00401986" w:rsidRDefault="00B137D7">
      <w:pPr>
        <w:pStyle w:val="1"/>
        <w:keepLines/>
        <w:pageBreakBefore/>
        <w:widowControl w:val="0"/>
        <w:spacing w:before="0" w:after="0" w:line="360" w:lineRule="auto"/>
        <w:jc w:val="center"/>
        <w:rPr>
          <w:rFonts w:ascii="Times New Roman" w:eastAsia="Times New Roman" w:hAnsi="Times New Roman" w:cs="Times New Roman"/>
        </w:rPr>
      </w:pPr>
      <w:bookmarkStart w:id="11" w:name="_Toc256000009"/>
      <w:r>
        <w:rPr>
          <w:rFonts w:ascii="宋体" w:hAnsi="宋体" w:cs="宋体"/>
          <w:kern w:val="36"/>
          <w:sz w:val="24"/>
          <w:szCs w:val="24"/>
        </w:rPr>
        <w:lastRenderedPageBreak/>
        <w:t>第十部分 基金的托管</w:t>
      </w:r>
      <w:bookmarkEnd w:id="11"/>
    </w:p>
    <w:p w14:paraId="52D7D99F" w14:textId="77777777" w:rsidR="00401986" w:rsidRDefault="00401986">
      <w:pPr>
        <w:widowControl w:val="0"/>
        <w:spacing w:line="360" w:lineRule="auto"/>
        <w:jc w:val="both"/>
        <w:rPr>
          <w:rFonts w:ascii="宋体" w:hAnsi="宋体" w:cs="宋体"/>
          <w:sz w:val="21"/>
          <w:szCs w:val="21"/>
        </w:rPr>
      </w:pPr>
    </w:p>
    <w:p w14:paraId="3DC4994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基金托管人和基金管理人按照《基金法》、《基金合同》及其他有关规定订立托管协议。</w:t>
      </w:r>
    </w:p>
    <w:p w14:paraId="3A3A186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1C81EA8" w14:textId="77777777" w:rsidR="00401986" w:rsidRDefault="00B137D7">
      <w:pPr>
        <w:pStyle w:val="1"/>
        <w:keepLines/>
        <w:pageBreakBefore/>
        <w:widowControl w:val="0"/>
        <w:spacing w:before="0" w:after="0" w:line="360" w:lineRule="auto"/>
        <w:jc w:val="center"/>
        <w:rPr>
          <w:rFonts w:ascii="Times New Roman" w:eastAsia="Times New Roman" w:hAnsi="Times New Roman" w:cs="Times New Roman"/>
        </w:rPr>
      </w:pPr>
      <w:bookmarkStart w:id="12" w:name="_Toc256000010"/>
      <w:r>
        <w:rPr>
          <w:rFonts w:ascii="宋体" w:hAnsi="宋体" w:cs="宋体"/>
          <w:kern w:val="36"/>
          <w:sz w:val="24"/>
          <w:szCs w:val="24"/>
        </w:rPr>
        <w:lastRenderedPageBreak/>
        <w:t>第十一部分 基金份额的登记</w:t>
      </w:r>
      <w:bookmarkEnd w:id="12"/>
    </w:p>
    <w:p w14:paraId="554D060C" w14:textId="77777777" w:rsidR="00401986" w:rsidRDefault="00401986">
      <w:pPr>
        <w:widowControl w:val="0"/>
        <w:spacing w:line="360" w:lineRule="auto"/>
        <w:jc w:val="both"/>
        <w:rPr>
          <w:rFonts w:ascii="宋体" w:hAnsi="宋体" w:cs="宋体"/>
          <w:sz w:val="21"/>
          <w:szCs w:val="21"/>
        </w:rPr>
      </w:pPr>
    </w:p>
    <w:p w14:paraId="06EDCD3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一、基金份额的登记业务</w:t>
      </w:r>
    </w:p>
    <w:p w14:paraId="6BE7263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cs="宋体"/>
          <w:sz w:val="21"/>
          <w:szCs w:val="21"/>
        </w:rPr>
        <w:t>非交易</w:t>
      </w:r>
      <w:proofErr w:type="gramEnd"/>
      <w:r>
        <w:rPr>
          <w:rFonts w:ascii="宋体" w:hAnsi="宋体" w:cs="宋体"/>
          <w:sz w:val="21"/>
          <w:szCs w:val="21"/>
        </w:rPr>
        <w:t>过户等。</w:t>
      </w:r>
    </w:p>
    <w:p w14:paraId="1DB2581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二、基金登记业务办理机构</w:t>
      </w:r>
    </w:p>
    <w:p w14:paraId="5DEA15B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7850D40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三、基金登记机构的权利</w:t>
      </w:r>
    </w:p>
    <w:p w14:paraId="4FE28DE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基金登记机构享有以下权利：</w:t>
      </w:r>
    </w:p>
    <w:p w14:paraId="416B62F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1、取得登记费；</w:t>
      </w:r>
    </w:p>
    <w:p w14:paraId="4FBF609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2、建立和管理投资者基金账户；</w:t>
      </w:r>
    </w:p>
    <w:p w14:paraId="7BEA2F3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3、保管基金份额持有人开户资料、交易资料、基金份额持有人名册等；</w:t>
      </w:r>
    </w:p>
    <w:p w14:paraId="6221419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4、在法律法规允许的范围内，对登记业务的办理时间进行调整，并依照有关规定于开始实施前在规定媒介上公告；</w:t>
      </w:r>
    </w:p>
    <w:p w14:paraId="30DD3EB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5、法律法规及中国证监会规定的和《基金合同》约定的其他权利。</w:t>
      </w:r>
    </w:p>
    <w:p w14:paraId="32BB4FD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四、基金登记机构的义务</w:t>
      </w:r>
    </w:p>
    <w:p w14:paraId="56F3AE4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基金登记机构承担以下义务：</w:t>
      </w:r>
    </w:p>
    <w:p w14:paraId="5D7176D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1、配备足够的专业人员办理本</w:t>
      </w:r>
      <w:proofErr w:type="gramStart"/>
      <w:r>
        <w:rPr>
          <w:rFonts w:ascii="宋体" w:hAnsi="宋体" w:cs="宋体"/>
          <w:sz w:val="21"/>
          <w:szCs w:val="21"/>
        </w:rPr>
        <w:t>基金基金</w:t>
      </w:r>
      <w:proofErr w:type="gramEnd"/>
      <w:r>
        <w:rPr>
          <w:rFonts w:ascii="宋体" w:hAnsi="宋体" w:cs="宋体"/>
          <w:sz w:val="21"/>
          <w:szCs w:val="21"/>
        </w:rPr>
        <w:t>份额的登记业务；</w:t>
      </w:r>
    </w:p>
    <w:p w14:paraId="64E9E86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2、严格按照法律法规和《基金合同》规定的条件办理本</w:t>
      </w:r>
      <w:proofErr w:type="gramStart"/>
      <w:r>
        <w:rPr>
          <w:rFonts w:ascii="宋体" w:hAnsi="宋体" w:cs="宋体"/>
          <w:sz w:val="21"/>
          <w:szCs w:val="21"/>
        </w:rPr>
        <w:t>基金基金</w:t>
      </w:r>
      <w:proofErr w:type="gramEnd"/>
      <w:r>
        <w:rPr>
          <w:rFonts w:ascii="宋体" w:hAnsi="宋体" w:cs="宋体"/>
          <w:sz w:val="21"/>
          <w:szCs w:val="21"/>
        </w:rPr>
        <w:t>份额的登记业务；</w:t>
      </w:r>
    </w:p>
    <w:p w14:paraId="7C85BBB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3、妥善保存登记数据，并将基金份额持有人名称、身份信息及基金份额明细等数据备份至中国证监会认定的机构。其保存期限自基金账户销户之日起不得少于20年；</w:t>
      </w:r>
    </w:p>
    <w:p w14:paraId="3180395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1F23DBC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5、按《基金合同》及招募说明书规定为投资者办理</w:t>
      </w:r>
      <w:proofErr w:type="gramStart"/>
      <w:r>
        <w:rPr>
          <w:rFonts w:ascii="宋体" w:hAnsi="宋体" w:cs="宋体"/>
          <w:sz w:val="21"/>
          <w:szCs w:val="21"/>
        </w:rPr>
        <w:t>非交易</w:t>
      </w:r>
      <w:proofErr w:type="gramEnd"/>
      <w:r>
        <w:rPr>
          <w:rFonts w:ascii="宋体" w:hAnsi="宋体" w:cs="宋体"/>
          <w:sz w:val="21"/>
          <w:szCs w:val="21"/>
        </w:rPr>
        <w:t>过户业务、提供其他必要的服务；</w:t>
      </w:r>
    </w:p>
    <w:p w14:paraId="3DB324B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6、接受基金管理人的监督；</w:t>
      </w:r>
    </w:p>
    <w:p w14:paraId="1C94DFB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7、法律法规及中国证监会规定的和《基金合同》约定的其他义务。</w:t>
      </w:r>
    </w:p>
    <w:p w14:paraId="16566744" w14:textId="77777777" w:rsidR="00401986" w:rsidRDefault="00B137D7">
      <w:pPr>
        <w:pStyle w:val="1"/>
        <w:keepLines/>
        <w:pageBreakBefore/>
        <w:widowControl w:val="0"/>
        <w:spacing w:before="0" w:after="0" w:line="360" w:lineRule="auto"/>
        <w:jc w:val="center"/>
        <w:rPr>
          <w:rFonts w:ascii="Times New Roman" w:eastAsia="Times New Roman" w:hAnsi="Times New Roman" w:cs="Times New Roman"/>
        </w:rPr>
      </w:pPr>
      <w:bookmarkStart w:id="13" w:name="_Toc256000011"/>
      <w:r>
        <w:rPr>
          <w:rFonts w:ascii="宋体" w:hAnsi="宋体" w:cs="宋体"/>
          <w:kern w:val="36"/>
          <w:sz w:val="24"/>
          <w:szCs w:val="24"/>
        </w:rPr>
        <w:lastRenderedPageBreak/>
        <w:t>第十二部分 基金的投资</w:t>
      </w:r>
      <w:bookmarkEnd w:id="13"/>
    </w:p>
    <w:p w14:paraId="0BC446A4" w14:textId="77777777" w:rsidR="00401986" w:rsidRDefault="00401986">
      <w:pPr>
        <w:widowControl w:val="0"/>
        <w:spacing w:line="360" w:lineRule="auto"/>
        <w:jc w:val="both"/>
        <w:rPr>
          <w:rFonts w:ascii="宋体" w:hAnsi="宋体" w:cs="宋体"/>
          <w:sz w:val="21"/>
          <w:szCs w:val="21"/>
        </w:rPr>
      </w:pPr>
    </w:p>
    <w:p w14:paraId="03D6B82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一、投资目标</w:t>
      </w:r>
    </w:p>
    <w:p w14:paraId="5F62867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在追求基金资产稳定增值、有效控制风险的基础上，通过积极主动的投资管理，力求取得超越基金业绩比较基准的收益。</w:t>
      </w:r>
    </w:p>
    <w:p w14:paraId="61CD006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二、投资范围</w:t>
      </w:r>
    </w:p>
    <w:p w14:paraId="10948D3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本基金的投资范围为具有良好流动性的金融工具，包括债券（含国债、金融债、企业债、公司债、央行票据、政府支持机构债、地方政府债、中期票据、短期融资</w:t>
      </w:r>
      <w:proofErr w:type="gramStart"/>
      <w:r>
        <w:rPr>
          <w:rFonts w:ascii="宋体" w:hAnsi="宋体" w:cs="宋体" w:hint="eastAsia"/>
          <w:sz w:val="21"/>
          <w:szCs w:val="21"/>
        </w:rPr>
        <w:t>券</w:t>
      </w:r>
      <w:proofErr w:type="gramEnd"/>
      <w:r>
        <w:rPr>
          <w:rFonts w:ascii="宋体" w:hAnsi="宋体" w:cs="宋体" w:hint="eastAsia"/>
          <w:sz w:val="21"/>
          <w:szCs w:val="21"/>
        </w:rPr>
        <w:t>、超短期融资券、次级债、可转换债券（</w:t>
      </w:r>
      <w:proofErr w:type="gramStart"/>
      <w:r>
        <w:rPr>
          <w:rFonts w:ascii="宋体" w:hAnsi="宋体" w:cs="宋体" w:hint="eastAsia"/>
          <w:sz w:val="21"/>
          <w:szCs w:val="21"/>
        </w:rPr>
        <w:t>含可分</w:t>
      </w:r>
      <w:proofErr w:type="gramEnd"/>
      <w:r>
        <w:rPr>
          <w:rFonts w:ascii="宋体" w:hAnsi="宋体" w:cs="宋体" w:hint="eastAsia"/>
          <w:sz w:val="21"/>
          <w:szCs w:val="21"/>
        </w:rPr>
        <w:t>离交易可转换债券）、可交换债券及其他中国证监会允许基金投资的债券）、债券回购、银行存款（包括协议存款、定期存款等）、货币市场工具、同业存单、资产支持证券、国债期货以及法律法规或中国证监会允许基金投资的其他金融工具（但须符合中国证监会相关规定）。</w:t>
      </w:r>
    </w:p>
    <w:p w14:paraId="6D7EDCF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本基金不直接参与股票投资，但因投资于所持有的可转换债券和可交换债券转股形成的股票在其可交易的</w:t>
      </w:r>
      <w:r>
        <w:rPr>
          <w:rFonts w:ascii="宋体" w:hAnsi="宋体" w:cs="宋体"/>
          <w:sz w:val="21"/>
          <w:szCs w:val="21"/>
        </w:rPr>
        <w:t>6</w:t>
      </w:r>
      <w:r>
        <w:rPr>
          <w:rFonts w:ascii="宋体" w:hAnsi="宋体" w:cs="宋体" w:hint="eastAsia"/>
          <w:sz w:val="21"/>
          <w:szCs w:val="21"/>
        </w:rPr>
        <w:t>个月内卖出。</w:t>
      </w:r>
    </w:p>
    <w:p w14:paraId="0B95400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如法律法规或监管机构以后允许基金投资其他品种，基金管理人在履行适当程序后，可以将其纳入投资范围。</w:t>
      </w:r>
    </w:p>
    <w:p w14:paraId="77C5ABDF" w14:textId="35A397CC"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基金的投资组合比例为：</w:t>
      </w:r>
      <w:r>
        <w:rPr>
          <w:rFonts w:ascii="宋体" w:hAnsi="宋体" w:cs="宋体" w:hint="eastAsia"/>
          <w:sz w:val="21"/>
          <w:szCs w:val="21"/>
        </w:rPr>
        <w:t>本基金投资于债券资产的比例不低于基金资产的80%；每个交易日日终在扣除国债期货合约需缴纳的交易保证金后，保持不低于基金资产净值5%的现金或者到期日在一年以内的政府债券，其中现金不包括结算备付金、存出保证金、应收申购款等。</w:t>
      </w:r>
    </w:p>
    <w:p w14:paraId="755F82B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如法律法规或中国证监会变更投资品种的投资比例限制，基金管理人在履行适当程序后，可以调整上述投资品种的投资比例。</w:t>
      </w:r>
    </w:p>
    <w:p w14:paraId="6C26BEA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三、投资策略</w:t>
      </w:r>
    </w:p>
    <w:p w14:paraId="256D2FF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1、资产配置策略</w:t>
      </w:r>
    </w:p>
    <w:p w14:paraId="68D4DC3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本基金将通过跟踪</w:t>
      </w:r>
      <w:proofErr w:type="gramStart"/>
      <w:r>
        <w:rPr>
          <w:rFonts w:ascii="宋体" w:hAnsi="宋体" w:cs="宋体" w:hint="eastAsia"/>
          <w:sz w:val="21"/>
          <w:szCs w:val="21"/>
        </w:rPr>
        <w:t>考量</w:t>
      </w:r>
      <w:proofErr w:type="gramEnd"/>
      <w:r>
        <w:rPr>
          <w:rFonts w:ascii="宋体" w:hAnsi="宋体" w:cs="宋体" w:hint="eastAsia"/>
          <w:sz w:val="21"/>
          <w:szCs w:val="21"/>
        </w:rPr>
        <w:t>通常的宏观经济变量（包括GDP增长率、CPI走势、M2的绝对水平和增长率、利率水平与走势等）以及各项国家政策（包括财政、货币、税收、汇率政策等）来判断经济周期目前的位置以及未来将发展的方向，在此基础上对各大类资产的风险和预期收益率进行分析评估，制定债券、现金等大类资产之间的配置比例、调整原则和调整范围。</w:t>
      </w:r>
    </w:p>
    <w:p w14:paraId="4911BFA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2、债券投资策略</w:t>
      </w:r>
    </w:p>
    <w:p w14:paraId="48F2BCB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本基金债券投资将</w:t>
      </w:r>
      <w:proofErr w:type="gramStart"/>
      <w:r>
        <w:rPr>
          <w:rFonts w:ascii="宋体" w:hAnsi="宋体" w:cs="宋体" w:hint="eastAsia"/>
          <w:sz w:val="21"/>
          <w:szCs w:val="21"/>
        </w:rPr>
        <w:t>采取久期策略</w:t>
      </w:r>
      <w:proofErr w:type="gramEnd"/>
      <w:r>
        <w:rPr>
          <w:rFonts w:ascii="宋体" w:hAnsi="宋体" w:cs="宋体" w:hint="eastAsia"/>
          <w:sz w:val="21"/>
          <w:szCs w:val="21"/>
        </w:rPr>
        <w:t>、收益率曲线策略、骑乘策略、息差策略、个券选择策略、信用债（含资产支持证券）投资策略、可转换</w:t>
      </w:r>
      <w:r>
        <w:rPr>
          <w:rFonts w:ascii="宋体" w:hAnsi="宋体" w:cs="宋体"/>
          <w:sz w:val="21"/>
          <w:szCs w:val="21"/>
        </w:rPr>
        <w:t>债券</w:t>
      </w:r>
      <w:r>
        <w:rPr>
          <w:rFonts w:ascii="宋体" w:hAnsi="宋体" w:cs="宋体" w:hint="eastAsia"/>
          <w:sz w:val="21"/>
          <w:szCs w:val="21"/>
        </w:rPr>
        <w:t>投资策略及可交换债券投资策略等积极投资策略，自上而下地管理组合的久期，灵活地调整组合的券种搭配，同时精选个券，以增强组合的持有期收益。</w:t>
      </w:r>
    </w:p>
    <w:p w14:paraId="233F92A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lastRenderedPageBreak/>
        <w:t>（1）</w:t>
      </w:r>
      <w:proofErr w:type="gramStart"/>
      <w:r>
        <w:rPr>
          <w:rFonts w:ascii="宋体" w:hAnsi="宋体" w:cs="宋体" w:hint="eastAsia"/>
          <w:sz w:val="21"/>
          <w:szCs w:val="21"/>
        </w:rPr>
        <w:t>久期策略</w:t>
      </w:r>
      <w:proofErr w:type="gramEnd"/>
    </w:p>
    <w:p w14:paraId="58E9CB09" w14:textId="77777777" w:rsidR="00401986" w:rsidRDefault="00B137D7">
      <w:pPr>
        <w:widowControl w:val="0"/>
        <w:spacing w:line="360" w:lineRule="auto"/>
        <w:ind w:firstLine="420"/>
        <w:jc w:val="both"/>
        <w:rPr>
          <w:rFonts w:ascii="宋体" w:hAnsi="宋体" w:cs="宋体"/>
          <w:sz w:val="21"/>
          <w:szCs w:val="21"/>
        </w:rPr>
      </w:pPr>
      <w:proofErr w:type="gramStart"/>
      <w:r>
        <w:rPr>
          <w:rFonts w:ascii="宋体" w:hAnsi="宋体" w:cs="宋体" w:hint="eastAsia"/>
          <w:sz w:val="21"/>
          <w:szCs w:val="21"/>
        </w:rPr>
        <w:t>久期管理</w:t>
      </w:r>
      <w:proofErr w:type="gramEnd"/>
      <w:r>
        <w:rPr>
          <w:rFonts w:ascii="宋体" w:hAnsi="宋体" w:cs="宋体" w:hint="eastAsia"/>
          <w:sz w:val="21"/>
          <w:szCs w:val="21"/>
        </w:rPr>
        <w:t>是债券投资的重要</w:t>
      </w:r>
      <w:proofErr w:type="gramStart"/>
      <w:r>
        <w:rPr>
          <w:rFonts w:ascii="宋体" w:hAnsi="宋体" w:cs="宋体" w:hint="eastAsia"/>
          <w:sz w:val="21"/>
          <w:szCs w:val="21"/>
        </w:rPr>
        <w:t>考</w:t>
      </w:r>
      <w:proofErr w:type="gramEnd"/>
      <w:r>
        <w:rPr>
          <w:rFonts w:ascii="宋体" w:hAnsi="宋体" w:cs="宋体" w:hint="eastAsia"/>
          <w:sz w:val="21"/>
          <w:szCs w:val="21"/>
        </w:rPr>
        <w:t>量因素，本基金将采用以“目标久期”为中心、自上而下的</w:t>
      </w:r>
      <w:proofErr w:type="gramStart"/>
      <w:r>
        <w:rPr>
          <w:rFonts w:ascii="宋体" w:hAnsi="宋体" w:cs="宋体" w:hint="eastAsia"/>
          <w:sz w:val="21"/>
          <w:szCs w:val="21"/>
        </w:rPr>
        <w:t>组合久期管</w:t>
      </w:r>
      <w:proofErr w:type="gramEnd"/>
      <w:r>
        <w:rPr>
          <w:rFonts w:ascii="宋体" w:hAnsi="宋体" w:cs="宋体" w:hint="eastAsia"/>
          <w:sz w:val="21"/>
          <w:szCs w:val="21"/>
        </w:rPr>
        <w:t>理策略。如果预期利率下降，本基金将增加组合的久期，直至接近</w:t>
      </w:r>
      <w:proofErr w:type="gramStart"/>
      <w:r>
        <w:rPr>
          <w:rFonts w:ascii="宋体" w:hAnsi="宋体" w:cs="宋体" w:hint="eastAsia"/>
          <w:sz w:val="21"/>
          <w:szCs w:val="21"/>
        </w:rPr>
        <w:t>目标久期上限</w:t>
      </w:r>
      <w:proofErr w:type="gramEnd"/>
      <w:r>
        <w:rPr>
          <w:rFonts w:ascii="宋体" w:hAnsi="宋体" w:cs="宋体" w:hint="eastAsia"/>
          <w:sz w:val="21"/>
          <w:szCs w:val="21"/>
        </w:rPr>
        <w:t>，以较多地获得债券价格上升带来的收益；反之，如果预期利率上升，本基金将缩短组合的久期，直至</w:t>
      </w:r>
      <w:proofErr w:type="gramStart"/>
      <w:r>
        <w:rPr>
          <w:rFonts w:ascii="宋体" w:hAnsi="宋体" w:cs="宋体" w:hint="eastAsia"/>
          <w:sz w:val="21"/>
          <w:szCs w:val="21"/>
        </w:rPr>
        <w:t>目标久期下限</w:t>
      </w:r>
      <w:proofErr w:type="gramEnd"/>
      <w:r>
        <w:rPr>
          <w:rFonts w:ascii="宋体" w:hAnsi="宋体" w:cs="宋体" w:hint="eastAsia"/>
          <w:sz w:val="21"/>
          <w:szCs w:val="21"/>
        </w:rPr>
        <w:t>，以减小债券价格下降带来的风险。</w:t>
      </w:r>
    </w:p>
    <w:p w14:paraId="1C1F053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（2）收益率曲线策略</w:t>
      </w:r>
    </w:p>
    <w:p w14:paraId="6D17ECD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收益率曲线的形状变化是判断市场整体走向的一个重要依据，本基金将据此调整组合长、中、短期债券的搭配，即通过对收益率曲线形状变化的预测，适时采用子弹式、杠铃或梯形策略构造组合，并进行动态调整。</w:t>
      </w:r>
    </w:p>
    <w:p w14:paraId="49E6CAF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（3）骑乘策略</w:t>
      </w:r>
    </w:p>
    <w:p w14:paraId="3605B9D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本基金将采用基于收益率曲线分析对债券组合进行适时调整的骑乘策略，以达到增强组合的持有期收益的目的。该策略是指通过对收益率曲线的分析，在可选的</w:t>
      </w:r>
      <w:proofErr w:type="gramStart"/>
      <w:r>
        <w:rPr>
          <w:rFonts w:ascii="宋体" w:hAnsi="宋体" w:cs="宋体" w:hint="eastAsia"/>
          <w:sz w:val="21"/>
          <w:szCs w:val="21"/>
        </w:rPr>
        <w:t>目标久期区间</w:t>
      </w:r>
      <w:proofErr w:type="gramEnd"/>
      <w:r>
        <w:rPr>
          <w:rFonts w:ascii="宋体" w:hAnsi="宋体" w:cs="宋体" w:hint="eastAsia"/>
          <w:sz w:val="21"/>
          <w:szCs w:val="21"/>
        </w:rPr>
        <w:t>买入期限位于收益率曲线较陡峭处右侧的债券。在收益率曲线不变动的情况下，随着其剩余期限的衰减，债券收益率将沿着陡峭的收益率曲线有较大幅的下滑，从而获得较高的资本收益；即使收益率曲线上升或进一步变陡，这一策略也能够提供更多的安全边际。</w:t>
      </w:r>
    </w:p>
    <w:p w14:paraId="14B7C2A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（4）息差策略</w:t>
      </w:r>
    </w:p>
    <w:p w14:paraId="68B34E1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本基金将</w:t>
      </w:r>
      <w:proofErr w:type="gramStart"/>
      <w:r>
        <w:rPr>
          <w:rFonts w:ascii="宋体" w:hAnsi="宋体" w:cs="宋体" w:hint="eastAsia"/>
          <w:sz w:val="21"/>
          <w:szCs w:val="21"/>
        </w:rPr>
        <w:t>采用息</w:t>
      </w:r>
      <w:proofErr w:type="gramEnd"/>
      <w:r>
        <w:rPr>
          <w:rFonts w:ascii="宋体" w:hAnsi="宋体" w:cs="宋体" w:hint="eastAsia"/>
          <w:sz w:val="21"/>
          <w:szCs w:val="21"/>
        </w:rPr>
        <w:t>差策略，以达到更好地利用杠杆放大债券投资的收益的目的。该策略是指在回购利率低于债券收益率的情形下，通过正回购将所获得的资金投资于债券，利用杠杆放大债券投资的收益。</w:t>
      </w:r>
    </w:p>
    <w:p w14:paraId="41C6D45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（5）</w:t>
      </w:r>
      <w:proofErr w:type="gramStart"/>
      <w:r>
        <w:rPr>
          <w:rFonts w:ascii="宋体" w:hAnsi="宋体" w:cs="宋体" w:hint="eastAsia"/>
          <w:sz w:val="21"/>
          <w:szCs w:val="21"/>
        </w:rPr>
        <w:t>个</w:t>
      </w:r>
      <w:proofErr w:type="gramEnd"/>
      <w:r>
        <w:rPr>
          <w:rFonts w:ascii="宋体" w:hAnsi="宋体" w:cs="宋体" w:hint="eastAsia"/>
          <w:sz w:val="21"/>
          <w:szCs w:val="21"/>
        </w:rPr>
        <w:t>券选择策略</w:t>
      </w:r>
    </w:p>
    <w:p w14:paraId="03CDED1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本基金将根据单个债券到期收益率相对于市场收益率曲线的偏离程度，结合信用等级、流动性、选择权条款、税赋特点等因素，确定其投资价值，选择定价合理或价值被低估的债券进行投资。</w:t>
      </w:r>
    </w:p>
    <w:p w14:paraId="0E0D8E7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（6）信用债（含资产支持证券，下同）投资策略</w:t>
      </w:r>
    </w:p>
    <w:p w14:paraId="391FD99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本基金将投资于信用债，以提高组合收益能力。本基金主要关注信用债收益率受信用利差曲线变动趋势和信用变化两方面影响，相应地采用以下两种投资策略：</w:t>
      </w:r>
    </w:p>
    <w:p w14:paraId="15EAD4E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1）信用利差曲线变化策略：首先分析经济周期和相关市场变化情况，其次分析标的债券市场容量、结构、流动性等变化趋势，最后综合分析信用利差曲线整体及分行业走势，确定本基金</w:t>
      </w:r>
      <w:proofErr w:type="gramStart"/>
      <w:r>
        <w:rPr>
          <w:rFonts w:ascii="宋体" w:hAnsi="宋体" w:cs="宋体" w:hint="eastAsia"/>
          <w:sz w:val="21"/>
          <w:szCs w:val="21"/>
        </w:rPr>
        <w:t>信用债分行业</w:t>
      </w:r>
      <w:proofErr w:type="gramEnd"/>
      <w:r>
        <w:rPr>
          <w:rFonts w:ascii="宋体" w:hAnsi="宋体" w:cs="宋体" w:hint="eastAsia"/>
          <w:sz w:val="21"/>
          <w:szCs w:val="21"/>
        </w:rPr>
        <w:t>投资比例。</w:t>
      </w:r>
    </w:p>
    <w:p w14:paraId="6CF5E54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2）信用变化策略：信用债信用等级发生变化后，本基金将采用最新信用级别所对应的信用利差曲线对债券进行重新定价。</w:t>
      </w:r>
    </w:p>
    <w:p w14:paraId="306A96D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本基金将根据内、外部信用评级结果，结合对类似债券信用利差的分析以及对未来信用利差走势的判断，选择信用利差被高估、未来信用利差可能下降的信用</w:t>
      </w:r>
      <w:proofErr w:type="gramStart"/>
      <w:r>
        <w:rPr>
          <w:rFonts w:ascii="宋体" w:hAnsi="宋体" w:cs="宋体" w:hint="eastAsia"/>
          <w:sz w:val="21"/>
          <w:szCs w:val="21"/>
        </w:rPr>
        <w:t>债进行</w:t>
      </w:r>
      <w:proofErr w:type="gramEnd"/>
      <w:r>
        <w:rPr>
          <w:rFonts w:ascii="宋体" w:hAnsi="宋体" w:cs="宋体" w:hint="eastAsia"/>
          <w:sz w:val="21"/>
          <w:szCs w:val="21"/>
        </w:rPr>
        <w:t>投资。本基金投资信用债的信用评级在AA</w:t>
      </w:r>
      <w:r>
        <w:rPr>
          <w:rFonts w:ascii="宋体" w:hAnsi="宋体" w:cs="宋体"/>
          <w:sz w:val="21"/>
          <w:szCs w:val="21"/>
        </w:rPr>
        <w:t>+</w:t>
      </w:r>
      <w:r>
        <w:rPr>
          <w:rFonts w:ascii="宋体" w:hAnsi="宋体" w:cs="宋体" w:hint="eastAsia"/>
          <w:sz w:val="21"/>
          <w:szCs w:val="21"/>
        </w:rPr>
        <w:t>及以上。其中，AAA信用等级信用</w:t>
      </w:r>
      <w:proofErr w:type="gramStart"/>
      <w:r>
        <w:rPr>
          <w:rFonts w:ascii="宋体" w:hAnsi="宋体" w:cs="宋体" w:hint="eastAsia"/>
          <w:sz w:val="21"/>
          <w:szCs w:val="21"/>
        </w:rPr>
        <w:t>债资产</w:t>
      </w:r>
      <w:proofErr w:type="gramEnd"/>
      <w:r>
        <w:rPr>
          <w:rFonts w:ascii="宋体" w:hAnsi="宋体" w:cs="宋体" w:hint="eastAsia"/>
          <w:sz w:val="21"/>
          <w:szCs w:val="21"/>
        </w:rPr>
        <w:t>占信用</w:t>
      </w:r>
      <w:proofErr w:type="gramStart"/>
      <w:r>
        <w:rPr>
          <w:rFonts w:ascii="宋体" w:hAnsi="宋体" w:cs="宋体" w:hint="eastAsia"/>
          <w:sz w:val="21"/>
          <w:szCs w:val="21"/>
        </w:rPr>
        <w:t>债资</w:t>
      </w:r>
      <w:proofErr w:type="gramEnd"/>
      <w:r>
        <w:rPr>
          <w:rFonts w:ascii="宋体" w:hAnsi="宋体" w:cs="宋体" w:hint="eastAsia"/>
          <w:sz w:val="21"/>
          <w:szCs w:val="21"/>
        </w:rPr>
        <w:t>产的</w:t>
      </w:r>
      <w:r>
        <w:rPr>
          <w:rFonts w:ascii="宋体" w:hAnsi="宋体" w:cs="宋体" w:hint="eastAsia"/>
          <w:sz w:val="21"/>
          <w:szCs w:val="21"/>
        </w:rPr>
        <w:lastRenderedPageBreak/>
        <w:t>比例不低于50%，AA+信用等级信用</w:t>
      </w:r>
      <w:proofErr w:type="gramStart"/>
      <w:r>
        <w:rPr>
          <w:rFonts w:ascii="宋体" w:hAnsi="宋体" w:cs="宋体" w:hint="eastAsia"/>
          <w:sz w:val="21"/>
          <w:szCs w:val="21"/>
        </w:rPr>
        <w:t>债资</w:t>
      </w:r>
      <w:proofErr w:type="gramEnd"/>
      <w:r>
        <w:rPr>
          <w:rFonts w:ascii="宋体" w:hAnsi="宋体" w:cs="宋体" w:hint="eastAsia"/>
          <w:sz w:val="21"/>
          <w:szCs w:val="21"/>
        </w:rPr>
        <w:t>产占信用</w:t>
      </w:r>
      <w:proofErr w:type="gramStart"/>
      <w:r>
        <w:rPr>
          <w:rFonts w:ascii="宋体" w:hAnsi="宋体" w:cs="宋体" w:hint="eastAsia"/>
          <w:sz w:val="21"/>
          <w:szCs w:val="21"/>
        </w:rPr>
        <w:t>债资</w:t>
      </w:r>
      <w:proofErr w:type="gramEnd"/>
      <w:r>
        <w:rPr>
          <w:rFonts w:ascii="宋体" w:hAnsi="宋体" w:cs="宋体" w:hint="eastAsia"/>
          <w:sz w:val="21"/>
          <w:szCs w:val="21"/>
        </w:rPr>
        <w:t>产的比例不高于50%。其中，短期融资</w:t>
      </w:r>
      <w:proofErr w:type="gramStart"/>
      <w:r>
        <w:rPr>
          <w:rFonts w:ascii="宋体" w:hAnsi="宋体" w:cs="宋体" w:hint="eastAsia"/>
          <w:sz w:val="21"/>
          <w:szCs w:val="21"/>
        </w:rPr>
        <w:t>券</w:t>
      </w:r>
      <w:proofErr w:type="gramEnd"/>
      <w:r>
        <w:rPr>
          <w:rFonts w:ascii="宋体" w:hAnsi="宋体" w:cs="宋体" w:hint="eastAsia"/>
          <w:sz w:val="21"/>
          <w:szCs w:val="21"/>
        </w:rPr>
        <w:t>、超短期融资券等短期信用资产的信用评级参考主体评级，其它信用资产采用债项评级，如无债项评级则参考主体评级。基金持有信用债期间，如果其信用等级下降、不再符合上述投资标准，应在评级报告发布之日起3个月内予以全部卖出。</w:t>
      </w:r>
    </w:p>
    <w:p w14:paraId="04295DE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在信用风险控制方面，本基金将定期对所投信用债的信用资质和发行人的偿付能力进行评估，持续监控和分析信用风险。当出现外部评级下调或者评级展望为负面、发债主体财务状况恶化、出现借款本金利息的延期支付情况、发行人现金流恶化且继续恶化等情形的可能性增大时，本基金将及时预警、</w:t>
      </w:r>
      <w:proofErr w:type="gramStart"/>
      <w:r>
        <w:rPr>
          <w:rFonts w:ascii="宋体" w:hAnsi="宋体" w:cs="宋体" w:hint="eastAsia"/>
          <w:sz w:val="21"/>
          <w:szCs w:val="21"/>
        </w:rPr>
        <w:t>处置高</w:t>
      </w:r>
      <w:proofErr w:type="gramEnd"/>
      <w:r>
        <w:rPr>
          <w:rFonts w:ascii="宋体" w:hAnsi="宋体" w:cs="宋体" w:hint="eastAsia"/>
          <w:sz w:val="21"/>
          <w:szCs w:val="21"/>
        </w:rPr>
        <w:t>风险信用债资产。</w:t>
      </w:r>
    </w:p>
    <w:p w14:paraId="4203DEF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（7）可转换债券投资策略及可交换债券投资策略</w:t>
      </w:r>
    </w:p>
    <w:p w14:paraId="298DECE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投资于可转换债券及可交换债券资产的投资比例不超过基金资产的20%。</w:t>
      </w:r>
    </w:p>
    <w:p w14:paraId="44C6D3E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1）传统可转换债券投资策略</w:t>
      </w:r>
    </w:p>
    <w:p w14:paraId="1ABB36C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传统可转换债券即可转换公司债</w:t>
      </w:r>
      <w:proofErr w:type="gramStart"/>
      <w:r>
        <w:rPr>
          <w:rFonts w:ascii="宋体" w:hAnsi="宋体" w:cs="宋体" w:hint="eastAsia"/>
          <w:sz w:val="21"/>
          <w:szCs w:val="21"/>
        </w:rPr>
        <w:t>券</w:t>
      </w:r>
      <w:proofErr w:type="gramEnd"/>
      <w:r>
        <w:rPr>
          <w:rFonts w:ascii="宋体" w:hAnsi="宋体" w:cs="宋体" w:hint="eastAsia"/>
          <w:sz w:val="21"/>
          <w:szCs w:val="21"/>
        </w:rPr>
        <w:t>，兼具债权和股权双重属性。债权属性是指投资者可以选择持有可转换债券到期，得到本金与利息收益；股权属性即股票期权属性，是指投资者可以在转</w:t>
      </w:r>
      <w:proofErr w:type="gramStart"/>
      <w:r>
        <w:rPr>
          <w:rFonts w:ascii="宋体" w:hAnsi="宋体" w:cs="宋体" w:hint="eastAsia"/>
          <w:sz w:val="21"/>
          <w:szCs w:val="21"/>
        </w:rPr>
        <w:t>股期间</w:t>
      </w:r>
      <w:proofErr w:type="gramEnd"/>
      <w:r>
        <w:rPr>
          <w:rFonts w:ascii="宋体" w:hAnsi="宋体" w:cs="宋体" w:hint="eastAsia"/>
          <w:sz w:val="21"/>
          <w:szCs w:val="21"/>
        </w:rPr>
        <w:t>以约定的转股价格把可转换债券转换成股票。因此，可转换债券的价格由债权价格和期权价格两部分组成。</w:t>
      </w:r>
    </w:p>
    <w:p w14:paraId="1B315A8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a.</w:t>
      </w:r>
      <w:proofErr w:type="gramStart"/>
      <w:r>
        <w:rPr>
          <w:rFonts w:ascii="宋体" w:hAnsi="宋体" w:cs="宋体" w:hint="eastAsia"/>
          <w:sz w:val="21"/>
          <w:szCs w:val="21"/>
        </w:rPr>
        <w:t>个</w:t>
      </w:r>
      <w:proofErr w:type="gramEnd"/>
      <w:r>
        <w:rPr>
          <w:rFonts w:ascii="宋体" w:hAnsi="宋体" w:cs="宋体" w:hint="eastAsia"/>
          <w:sz w:val="21"/>
          <w:szCs w:val="21"/>
        </w:rPr>
        <w:t>券选择策略。一方面，本基金将对所有可转换债券对应的标的股票进行深入研究，采用定性分析（行业地位、竞争优势、治理结构、市场开拓、创新能力等）与定量分析（P/B、P/E、PEG、DCF、DDM、NAV等）相结合的方式挑选成长性好且估值合理的正股；另一方面，本基金将深入研究分析可转换债券自身的信用评估。综上所述，本基金将结合可转换债券自身的信用评估和其正股的价值分析，作为选取个</w:t>
      </w:r>
      <w:proofErr w:type="gramStart"/>
      <w:r>
        <w:rPr>
          <w:rFonts w:ascii="宋体" w:hAnsi="宋体" w:cs="宋体" w:hint="eastAsia"/>
          <w:sz w:val="21"/>
          <w:szCs w:val="21"/>
        </w:rPr>
        <w:t>券</w:t>
      </w:r>
      <w:proofErr w:type="gramEnd"/>
      <w:r>
        <w:rPr>
          <w:rFonts w:ascii="宋体" w:hAnsi="宋体" w:cs="宋体" w:hint="eastAsia"/>
          <w:sz w:val="21"/>
          <w:szCs w:val="21"/>
        </w:rPr>
        <w:t>的重要依据。</w:t>
      </w:r>
    </w:p>
    <w:p w14:paraId="4F6B4FB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b.条款价值发现策略。可转换债券一般均设有一些特殊条款，包括修正转股价条款、回售条款、赎回条款等，这些条款在特定环境下对可转换债券价值有着较大的影响。本基金将通过有效分析相关信息力争把握各项</w:t>
      </w:r>
      <w:proofErr w:type="gramStart"/>
      <w:r>
        <w:rPr>
          <w:rFonts w:ascii="宋体" w:hAnsi="宋体" w:cs="宋体" w:hint="eastAsia"/>
          <w:sz w:val="21"/>
          <w:szCs w:val="21"/>
        </w:rPr>
        <w:t>条款给可转换</w:t>
      </w:r>
      <w:proofErr w:type="gramEnd"/>
      <w:r>
        <w:rPr>
          <w:rFonts w:ascii="宋体" w:hAnsi="宋体" w:cs="宋体" w:hint="eastAsia"/>
          <w:sz w:val="21"/>
          <w:szCs w:val="21"/>
        </w:rPr>
        <w:t>债券带来的可能的投资机会。</w:t>
      </w:r>
    </w:p>
    <w:p w14:paraId="645CDAA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2）分离交易可转换债券投资策略</w:t>
      </w:r>
    </w:p>
    <w:p w14:paraId="593DC04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本基金在对这类债券基本情况进行研究的同时，将重点分析</w:t>
      </w:r>
      <w:proofErr w:type="gramStart"/>
      <w:r>
        <w:rPr>
          <w:rFonts w:ascii="宋体" w:hAnsi="宋体" w:cs="宋体" w:hint="eastAsia"/>
          <w:sz w:val="21"/>
          <w:szCs w:val="21"/>
        </w:rPr>
        <w:t>附权部分</w:t>
      </w:r>
      <w:proofErr w:type="gramEnd"/>
      <w:r>
        <w:rPr>
          <w:rFonts w:ascii="宋体" w:hAnsi="宋体" w:cs="宋体" w:hint="eastAsia"/>
          <w:sz w:val="21"/>
          <w:szCs w:val="21"/>
        </w:rPr>
        <w:t>对债券估值的影响。对于分离交易可转换债券的债券部分将按照债券投资策略进行管理，权证部分将在可交易之日起不超过3个月的时间内卖出。</w:t>
      </w:r>
    </w:p>
    <w:p w14:paraId="3105CAF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3）可交换债券投资策略</w:t>
      </w:r>
    </w:p>
    <w:p w14:paraId="4649476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可交换债券</w:t>
      </w:r>
      <w:proofErr w:type="gramStart"/>
      <w:r>
        <w:rPr>
          <w:rFonts w:ascii="宋体" w:hAnsi="宋体" w:cs="宋体" w:hint="eastAsia"/>
          <w:sz w:val="21"/>
          <w:szCs w:val="21"/>
        </w:rPr>
        <w:t>具有股性和债性</w:t>
      </w:r>
      <w:proofErr w:type="gramEnd"/>
      <w:r>
        <w:rPr>
          <w:rFonts w:ascii="宋体" w:hAnsi="宋体" w:cs="宋体" w:hint="eastAsia"/>
          <w:sz w:val="21"/>
          <w:szCs w:val="21"/>
        </w:rPr>
        <w:t>，其中债性，即选择持有可交换债券至到期以获取票面价值和票面利息；而对于股性的分析则需关注目标公司的股票价值。本基金将通过对目标公司股票的投资价值分析和可交换债券的</w:t>
      </w:r>
      <w:proofErr w:type="gramStart"/>
      <w:r>
        <w:rPr>
          <w:rFonts w:ascii="宋体" w:hAnsi="宋体" w:cs="宋体" w:hint="eastAsia"/>
          <w:sz w:val="21"/>
          <w:szCs w:val="21"/>
        </w:rPr>
        <w:t>纯债部分</w:t>
      </w:r>
      <w:proofErr w:type="gramEnd"/>
      <w:r>
        <w:rPr>
          <w:rFonts w:ascii="宋体" w:hAnsi="宋体" w:cs="宋体" w:hint="eastAsia"/>
          <w:sz w:val="21"/>
          <w:szCs w:val="21"/>
        </w:rPr>
        <w:t>价值分析综合开展投资决策。</w:t>
      </w:r>
    </w:p>
    <w:p w14:paraId="0444AE5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3、国债期货投资策略</w:t>
      </w:r>
    </w:p>
    <w:p w14:paraId="59E1A988" w14:textId="60034EAA"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本基金在进行国债期货投资时，将根据风险管理原则，以套期保值为目的，采用流动性好、交易活跃的期货合约，通过对债券市场和期货市场运行趋势的研究，结合国债期货</w:t>
      </w:r>
      <w:r>
        <w:rPr>
          <w:rFonts w:ascii="宋体" w:hAnsi="宋体" w:cs="宋体" w:hint="eastAsia"/>
          <w:sz w:val="21"/>
          <w:szCs w:val="21"/>
        </w:rPr>
        <w:lastRenderedPageBreak/>
        <w:t>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生品的杠杆作用，以达到降低投资组合的整体风险的目的。</w:t>
      </w:r>
    </w:p>
    <w:p w14:paraId="4131A36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未来，随着证券市场投资工具的发展和丰富，本基金可在履行适当程序</w:t>
      </w:r>
      <w:proofErr w:type="gramStart"/>
      <w:r>
        <w:rPr>
          <w:rFonts w:ascii="宋体" w:hAnsi="宋体" w:cs="宋体" w:hint="eastAsia"/>
          <w:sz w:val="21"/>
          <w:szCs w:val="21"/>
        </w:rPr>
        <w:t>后相应</w:t>
      </w:r>
      <w:proofErr w:type="gramEnd"/>
      <w:r>
        <w:rPr>
          <w:rFonts w:ascii="宋体" w:hAnsi="宋体" w:cs="宋体" w:hint="eastAsia"/>
          <w:sz w:val="21"/>
          <w:szCs w:val="21"/>
        </w:rPr>
        <w:t>调整和更新相关投资策略，并在招募说明书中更新并公告。</w:t>
      </w:r>
    </w:p>
    <w:p w14:paraId="28561D2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四、投资限制</w:t>
      </w:r>
    </w:p>
    <w:p w14:paraId="0AA840C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1、组合限制</w:t>
      </w:r>
    </w:p>
    <w:p w14:paraId="73C8BD5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基金的投资组合应遵循以下限制：</w:t>
      </w:r>
    </w:p>
    <w:p w14:paraId="7714D0A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w:t>
      </w:r>
      <w:r>
        <w:rPr>
          <w:rFonts w:ascii="宋体" w:hAnsi="宋体" w:cs="宋体" w:hint="eastAsia"/>
          <w:sz w:val="21"/>
          <w:szCs w:val="21"/>
        </w:rPr>
        <w:t>本基金投资于债券资产的比例不低于基金资产的80%；</w:t>
      </w:r>
    </w:p>
    <w:p w14:paraId="74948D7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w:t>
      </w:r>
      <w:r>
        <w:rPr>
          <w:rFonts w:ascii="宋体" w:hAnsi="宋体" w:cs="宋体" w:hint="eastAsia"/>
          <w:sz w:val="21"/>
          <w:szCs w:val="21"/>
        </w:rPr>
        <w:t>每个交易日日终在扣除国债期货合约需缴纳的交易保证金后，保持不低于基金资产净值5%的现金或者到期日在一年以内的政府债券，其中现金不包括结算备付金、存出保证金和应收申购款等；</w:t>
      </w:r>
    </w:p>
    <w:p w14:paraId="020444D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（3）本基金持有一家公司发行的证券，其市值不超过基金资产净值的10%；</w:t>
      </w:r>
    </w:p>
    <w:p w14:paraId="78D16C2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（4）本基金管理人管理的全部基金持有一家公司发行的证券，不超过该证券的10%，完全按照有关指数的构成比例进行证券投资的基金品种可以不受此条款规定的比例限制；</w:t>
      </w:r>
    </w:p>
    <w:p w14:paraId="1530018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（5）本基金投资于同一原始权益人的各类资产支持证券的比例，不得超过基金资产净值的10%；</w:t>
      </w:r>
    </w:p>
    <w:p w14:paraId="6DB72FF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（6）本基金持有的全部资产支持证券，其市值不得超过基金资产净值的20%，中国证监会规定的特殊品种除外；</w:t>
      </w:r>
    </w:p>
    <w:p w14:paraId="27B72E9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（7）本基金持有的同一（指同一信用级别）资产支持证券的比例，不得超过该资产支持证券规模的10%；</w:t>
      </w:r>
    </w:p>
    <w:p w14:paraId="3982D1B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（8）本基金管理人管理的全部基金投资于同一原始权益人的各类资产支持证券，不得超过其各类资产支持证券合计规模的10%；</w:t>
      </w:r>
    </w:p>
    <w:p w14:paraId="72D2B545" w14:textId="79EDBCA0"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9</w:t>
      </w:r>
      <w:r>
        <w:rPr>
          <w:rFonts w:ascii="宋体" w:hAnsi="宋体" w:cs="宋体" w:hint="eastAsia"/>
          <w:sz w:val="21"/>
          <w:szCs w:val="21"/>
        </w:rPr>
        <w:t xml:space="preserve">）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  </w:t>
      </w:r>
      <w:r>
        <w:rPr>
          <w:rFonts w:ascii="宋体" w:hAnsi="宋体" w:cs="宋体"/>
          <w:sz w:val="21"/>
          <w:szCs w:val="21"/>
        </w:rPr>
        <w:t xml:space="preserve">    </w:t>
      </w:r>
    </w:p>
    <w:p w14:paraId="1880FDF9" w14:textId="306A4368"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10）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14:paraId="279BEE22" w14:textId="77A8BB3A"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（11）本基金资产总值不超过基金资产净值的140%；</w:t>
      </w:r>
    </w:p>
    <w:p w14:paraId="240B5C6E" w14:textId="1F23A718"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（12）若本基金参与国债期货交易，应当遵守下列要求：</w:t>
      </w:r>
    </w:p>
    <w:p w14:paraId="62E5A5C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a.本基金在任何交易日日终，持有的买入国债期货合约价值，不得超过基金资产净值</w:t>
      </w:r>
      <w:r>
        <w:rPr>
          <w:rFonts w:ascii="宋体" w:hAnsi="宋体" w:cs="宋体"/>
          <w:sz w:val="21"/>
          <w:szCs w:val="21"/>
        </w:rPr>
        <w:lastRenderedPageBreak/>
        <w:t>的15%；</w:t>
      </w:r>
    </w:p>
    <w:p w14:paraId="1F15978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b.本基金在任何交易日日终，持有的卖出国债期货合约价值不得超过基金持有的债券总市值的30%；</w:t>
      </w:r>
    </w:p>
    <w:p w14:paraId="1A625CB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c.本基金所持有的债券（不含到期日在一年以内的政府债券）市值和买入、卖出国债期货合约价值，合计（轧差计算）应当符合基金合同关于债券投资比例的有关约定；</w:t>
      </w:r>
    </w:p>
    <w:p w14:paraId="4A8C00C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d.本基金在任何交易日内交易（不包括平仓）的国债期货合约的成交金额不得超过上一交易日基金资产净值的30%；</w:t>
      </w:r>
    </w:p>
    <w:p w14:paraId="78065E0E" w14:textId="35CE037C"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（13）本基金与私募类</w:t>
      </w:r>
      <w:proofErr w:type="gramStart"/>
      <w:r>
        <w:rPr>
          <w:rFonts w:ascii="宋体" w:hAnsi="宋体" w:cs="宋体"/>
          <w:sz w:val="21"/>
          <w:szCs w:val="21"/>
        </w:rPr>
        <w:t>证券资管产品</w:t>
      </w:r>
      <w:proofErr w:type="gramEnd"/>
      <w:r>
        <w:rPr>
          <w:rFonts w:ascii="宋体" w:hAnsi="宋体" w:cs="宋体"/>
          <w:sz w:val="21"/>
          <w:szCs w:val="21"/>
        </w:rPr>
        <w:t>及中国证监会认定的其他主体为交易对手开展逆回购交易的，可接受质押品的资质要求应当与本基金合同约定的投资范围保持一致；</w:t>
      </w:r>
    </w:p>
    <w:p w14:paraId="27532CC8" w14:textId="3B6875A1"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（14）法律法规及中国证监会规定的和《基金合同》约定的其他投资限制。</w:t>
      </w:r>
    </w:p>
    <w:p w14:paraId="3CE9CB80" w14:textId="7F6B80D4"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除上述第（2）、（10）、（13）项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7030B4F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179BE5F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法律法规或监管部门取消或调整上述限制，如适用于本基金，基金管理人在履行适当程序后，则本基金投资不再受相关限制或按调整后的规定执行。</w:t>
      </w:r>
    </w:p>
    <w:p w14:paraId="52D1F40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2、禁止行为</w:t>
      </w:r>
    </w:p>
    <w:p w14:paraId="5B8C367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为维护基金份额持有人的合法权益，基金财产不得用于下列投资或者活动：</w:t>
      </w:r>
    </w:p>
    <w:p w14:paraId="2D135A3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（1）承销证券；</w:t>
      </w:r>
    </w:p>
    <w:p w14:paraId="5A78ACA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（2）违反规定向他人贷款或者提供担保；</w:t>
      </w:r>
    </w:p>
    <w:p w14:paraId="6285214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（3）从事承担无限责任的投资；</w:t>
      </w:r>
    </w:p>
    <w:p w14:paraId="285A254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（4）买卖其他基金份额，但是中国证监会另有规定的除外；</w:t>
      </w:r>
    </w:p>
    <w:p w14:paraId="25555DD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（5）向其基金管理人、基金托管人出资；</w:t>
      </w:r>
    </w:p>
    <w:p w14:paraId="56FD4E9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（6）从事内幕交易、操纵证券交易价格及其他不正当的证券交易活动；</w:t>
      </w:r>
    </w:p>
    <w:p w14:paraId="4EBD59D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（7）法律、行政法规和中国证监会规定禁止的其他活动。</w:t>
      </w:r>
    </w:p>
    <w:p w14:paraId="512B61A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84EC68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lastRenderedPageBreak/>
        <w:t>法律法规或监管部门取消或调整上述禁止性规定，如适用于本基金，基金管理人在履行适当程序后，则本基金投资不再受相关限制或按调整后的规定执行。</w:t>
      </w:r>
    </w:p>
    <w:p w14:paraId="5123B22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五、业绩比较基准</w:t>
      </w:r>
    </w:p>
    <w:p w14:paraId="6175DB47" w14:textId="50656916"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本基金业绩比较基准：中债-综合</w:t>
      </w:r>
      <w:r w:rsidR="006D7CB5">
        <w:rPr>
          <w:rFonts w:ascii="宋体" w:hAnsi="宋体" w:cs="宋体" w:hint="eastAsia"/>
          <w:sz w:val="21"/>
          <w:szCs w:val="21"/>
        </w:rPr>
        <w:t>全价</w:t>
      </w:r>
      <w:r w:rsidR="000C697A">
        <w:rPr>
          <w:rFonts w:ascii="宋体" w:hAnsi="宋体" w:cs="宋体" w:hint="eastAsia"/>
          <w:sz w:val="21"/>
          <w:szCs w:val="21"/>
        </w:rPr>
        <w:t>（总值）</w:t>
      </w:r>
      <w:r>
        <w:rPr>
          <w:rFonts w:ascii="宋体" w:hAnsi="宋体" w:cs="宋体" w:hint="eastAsia"/>
          <w:sz w:val="21"/>
          <w:szCs w:val="21"/>
        </w:rPr>
        <w:t>指数收益率×8</w:t>
      </w:r>
      <w:r>
        <w:rPr>
          <w:rFonts w:ascii="宋体" w:hAnsi="宋体" w:cs="宋体"/>
          <w:sz w:val="21"/>
          <w:szCs w:val="21"/>
        </w:rPr>
        <w:t>5</w:t>
      </w:r>
      <w:r>
        <w:rPr>
          <w:rFonts w:ascii="宋体" w:hAnsi="宋体" w:cs="宋体" w:hint="eastAsia"/>
          <w:sz w:val="21"/>
          <w:szCs w:val="21"/>
        </w:rPr>
        <w:t>%+中证可转换债券指数收益率×5%</w:t>
      </w:r>
      <w:r>
        <w:rPr>
          <w:rFonts w:ascii="宋体" w:hAnsi="宋体" w:cs="宋体"/>
          <w:sz w:val="21"/>
          <w:szCs w:val="21"/>
        </w:rPr>
        <w:t>+</w:t>
      </w:r>
      <w:r>
        <w:rPr>
          <w:rFonts w:ascii="宋体" w:hAnsi="宋体" w:cs="宋体" w:hint="eastAsia"/>
          <w:sz w:val="21"/>
          <w:szCs w:val="21"/>
        </w:rPr>
        <w:t>一年期定期存款利率（税后）×</w:t>
      </w:r>
      <w:r>
        <w:rPr>
          <w:rFonts w:ascii="宋体" w:hAnsi="宋体" w:cs="宋体"/>
          <w:sz w:val="21"/>
          <w:szCs w:val="21"/>
        </w:rPr>
        <w:t>1</w:t>
      </w:r>
      <w:r>
        <w:rPr>
          <w:rFonts w:ascii="宋体" w:hAnsi="宋体" w:cs="宋体" w:hint="eastAsia"/>
          <w:sz w:val="21"/>
          <w:szCs w:val="21"/>
        </w:rPr>
        <w:t>0%</w:t>
      </w:r>
    </w:p>
    <w:p w14:paraId="60A3A448" w14:textId="7495DCD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中债-综合</w:t>
      </w:r>
      <w:r w:rsidR="006D7CB5">
        <w:rPr>
          <w:rFonts w:ascii="宋体" w:hAnsi="宋体" w:cs="宋体" w:hint="eastAsia"/>
          <w:sz w:val="21"/>
          <w:szCs w:val="21"/>
        </w:rPr>
        <w:t>全价</w:t>
      </w:r>
      <w:r w:rsidR="000C697A">
        <w:rPr>
          <w:rFonts w:ascii="宋体" w:hAnsi="宋体" w:cs="宋体" w:hint="eastAsia"/>
          <w:sz w:val="21"/>
          <w:szCs w:val="21"/>
        </w:rPr>
        <w:t>（总值）</w:t>
      </w:r>
      <w:r>
        <w:rPr>
          <w:rFonts w:ascii="宋体" w:hAnsi="宋体" w:cs="宋体" w:hint="eastAsia"/>
          <w:sz w:val="21"/>
          <w:szCs w:val="21"/>
        </w:rPr>
        <w:t>指数是综合反映银行间债券市场和沪深交易所债券市场的债券指数，对债券价格变动趋势有很强的代表性，能较好的反映本基金的投资策略，较为科学、合理的评价本基金的业绩表现。中证可转换债券指数的样本由在沪深证券交易所上市的可转换债券组成，以反映国内市场可转换债券的总体表现。一年期定期存款利率（税后）是指中国人民银行公布并执行的金融机构一年期人民币存款基准利率，其能反映出本基金投资现金类资产以达到获得持续稳妥收益的目的。基于本基金的投资范围和投资策略，选用上述业绩比较基准能够较好的体现本基金的风险收益特征。</w:t>
      </w:r>
    </w:p>
    <w:p w14:paraId="00E25B4B" w14:textId="5BD2D382"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如果本基金业绩比较基准</w:t>
      </w:r>
      <w:r>
        <w:rPr>
          <w:rFonts w:ascii="宋体" w:hAnsi="宋体" w:cs="宋体" w:hint="eastAsia"/>
          <w:sz w:val="21"/>
          <w:szCs w:val="21"/>
        </w:rPr>
        <w:t>所涉及的指数</w:t>
      </w:r>
      <w:r>
        <w:rPr>
          <w:rFonts w:ascii="宋体" w:hAnsi="宋体" w:cs="宋体"/>
          <w:sz w:val="21"/>
          <w:szCs w:val="21"/>
        </w:rPr>
        <w:t>停止发布或更改名称，或者今后法律法规发生变化，或者有更适当的、更能为市场普遍接受的业绩比较基准推出，或者是市场上出现更加适合用于本基金的业绩比较基准时，本基金管理人与基金托管人协商一致后可以变更业绩比较基准并及时公告，但不需要召开基金份额持有人大会。</w:t>
      </w:r>
    </w:p>
    <w:p w14:paraId="06D4F1D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六、风险收益特征</w:t>
      </w:r>
    </w:p>
    <w:p w14:paraId="324F65C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本基金属于债券型基金，其预期收益及预期风险高于货币市场基金，但低于股票型基金、混合型基金。</w:t>
      </w:r>
    </w:p>
    <w:p w14:paraId="2B016FD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七、基金管理人代表基金行使</w:t>
      </w:r>
      <w:r>
        <w:rPr>
          <w:rFonts w:ascii="宋体" w:hAnsi="宋体" w:cs="宋体" w:hint="eastAsia"/>
          <w:sz w:val="21"/>
          <w:szCs w:val="21"/>
        </w:rPr>
        <w:t>股东</w:t>
      </w:r>
      <w:r>
        <w:rPr>
          <w:rFonts w:ascii="宋体" w:hAnsi="宋体" w:cs="宋体"/>
          <w:sz w:val="21"/>
          <w:szCs w:val="21"/>
        </w:rPr>
        <w:t>或债权人权利的处理原则及方法</w:t>
      </w:r>
    </w:p>
    <w:p w14:paraId="712D08D9" w14:textId="5952BD7E"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1、基金管理人按照国家有关规定代表基金独立行使</w:t>
      </w:r>
      <w:r w:rsidR="007F0C74">
        <w:rPr>
          <w:rFonts w:ascii="宋体" w:hAnsi="宋体" w:cs="宋体" w:hint="eastAsia"/>
          <w:sz w:val="21"/>
          <w:szCs w:val="21"/>
        </w:rPr>
        <w:t>股东或</w:t>
      </w:r>
      <w:r>
        <w:rPr>
          <w:rFonts w:ascii="宋体" w:hAnsi="宋体" w:cs="宋体"/>
          <w:sz w:val="21"/>
          <w:szCs w:val="21"/>
        </w:rPr>
        <w:t>债权人权利，保护基金份额持有人的利益；</w:t>
      </w:r>
    </w:p>
    <w:p w14:paraId="67B95EA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2、不谋求对上市公司的控股；</w:t>
      </w:r>
    </w:p>
    <w:p w14:paraId="4D724CBF" w14:textId="42090B5A"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3、有利于基金财产的安全与增值；</w:t>
      </w:r>
    </w:p>
    <w:p w14:paraId="34F707D1" w14:textId="70054F76"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4、不通过关联交易为自身、雇员、授权代理人或任何存在利害关系的第三人牟取任何不当利益。</w:t>
      </w:r>
    </w:p>
    <w:p w14:paraId="03F39AE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八、</w:t>
      </w:r>
      <w:proofErr w:type="gramStart"/>
      <w:r>
        <w:rPr>
          <w:rFonts w:ascii="宋体" w:hAnsi="宋体" w:cs="宋体"/>
          <w:sz w:val="21"/>
          <w:szCs w:val="21"/>
        </w:rPr>
        <w:t>侧袋机制</w:t>
      </w:r>
      <w:proofErr w:type="gramEnd"/>
      <w:r>
        <w:rPr>
          <w:rFonts w:ascii="宋体" w:hAnsi="宋体" w:cs="宋体"/>
          <w:sz w:val="21"/>
          <w:szCs w:val="21"/>
        </w:rPr>
        <w:t>的实施和投资运作安排</w:t>
      </w:r>
    </w:p>
    <w:p w14:paraId="3389FEF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cs="宋体"/>
          <w:sz w:val="21"/>
          <w:szCs w:val="21"/>
        </w:rPr>
        <w:t>启用侧袋机制</w:t>
      </w:r>
      <w:proofErr w:type="gramEnd"/>
      <w:r>
        <w:rPr>
          <w:rFonts w:ascii="宋体" w:hAnsi="宋体" w:cs="宋体"/>
          <w:sz w:val="21"/>
          <w:szCs w:val="21"/>
        </w:rPr>
        <w:t>。</w:t>
      </w:r>
    </w:p>
    <w:p w14:paraId="5007E170" w14:textId="77777777" w:rsidR="00401986" w:rsidRDefault="00B137D7">
      <w:pPr>
        <w:widowControl w:val="0"/>
        <w:spacing w:line="360" w:lineRule="auto"/>
        <w:ind w:firstLine="420"/>
        <w:jc w:val="both"/>
        <w:rPr>
          <w:rFonts w:ascii="宋体" w:hAnsi="宋体" w:cs="宋体"/>
          <w:sz w:val="21"/>
          <w:szCs w:val="21"/>
        </w:rPr>
      </w:pPr>
      <w:proofErr w:type="gramStart"/>
      <w:r>
        <w:rPr>
          <w:rFonts w:ascii="宋体" w:hAnsi="宋体" w:cs="宋体"/>
          <w:sz w:val="21"/>
          <w:szCs w:val="21"/>
        </w:rPr>
        <w:t>侧袋机制</w:t>
      </w:r>
      <w:proofErr w:type="gramEnd"/>
      <w:r>
        <w:rPr>
          <w:rFonts w:ascii="宋体" w:hAnsi="宋体" w:cs="宋体"/>
          <w:sz w:val="21"/>
          <w:szCs w:val="21"/>
        </w:rPr>
        <w:t>实施期间，本部分约定的投资组合比例、投资策略、组合限制、业绩比较基准、风险收益特征等约定仅</w:t>
      </w:r>
      <w:proofErr w:type="gramStart"/>
      <w:r>
        <w:rPr>
          <w:rFonts w:ascii="宋体" w:hAnsi="宋体" w:cs="宋体"/>
          <w:sz w:val="21"/>
          <w:szCs w:val="21"/>
        </w:rPr>
        <w:t>适用于主袋账</w:t>
      </w:r>
      <w:proofErr w:type="gramEnd"/>
      <w:r>
        <w:rPr>
          <w:rFonts w:ascii="宋体" w:hAnsi="宋体" w:cs="宋体"/>
          <w:sz w:val="21"/>
          <w:szCs w:val="21"/>
        </w:rPr>
        <w:t>户。</w:t>
      </w:r>
    </w:p>
    <w:p w14:paraId="596061FF" w14:textId="77777777" w:rsidR="00401986" w:rsidRDefault="00B137D7">
      <w:pPr>
        <w:widowControl w:val="0"/>
        <w:spacing w:line="360" w:lineRule="auto"/>
        <w:ind w:firstLine="420"/>
        <w:jc w:val="both"/>
        <w:rPr>
          <w:rFonts w:ascii="宋体" w:hAnsi="宋体" w:cs="宋体"/>
          <w:sz w:val="21"/>
          <w:szCs w:val="21"/>
        </w:rPr>
      </w:pPr>
      <w:proofErr w:type="gramStart"/>
      <w:r>
        <w:rPr>
          <w:rFonts w:ascii="宋体" w:hAnsi="宋体" w:cs="宋体"/>
          <w:sz w:val="21"/>
          <w:szCs w:val="21"/>
        </w:rPr>
        <w:t>侧袋账户</w:t>
      </w:r>
      <w:proofErr w:type="gramEnd"/>
      <w:r>
        <w:rPr>
          <w:rFonts w:ascii="宋体" w:hAnsi="宋体" w:cs="宋体"/>
          <w:sz w:val="21"/>
          <w:szCs w:val="21"/>
        </w:rPr>
        <w:t>的实施条件、实施程序、运作安排、投资安排、特定资产的处置变现和支付等对投资者权益有重大影响的事项详见招募说明书的规定。</w:t>
      </w:r>
    </w:p>
    <w:p w14:paraId="619C6B72" w14:textId="77777777" w:rsidR="00401986" w:rsidRDefault="00B137D7">
      <w:pPr>
        <w:pStyle w:val="1"/>
        <w:keepLines/>
        <w:pageBreakBefore/>
        <w:widowControl w:val="0"/>
        <w:spacing w:before="0" w:after="0" w:line="360" w:lineRule="auto"/>
        <w:jc w:val="center"/>
        <w:rPr>
          <w:rFonts w:ascii="Times New Roman" w:eastAsia="Times New Roman" w:hAnsi="Times New Roman" w:cs="Times New Roman"/>
        </w:rPr>
      </w:pPr>
      <w:bookmarkStart w:id="14" w:name="_Toc256000012"/>
      <w:r>
        <w:rPr>
          <w:rFonts w:ascii="宋体" w:hAnsi="宋体" w:cs="宋体"/>
          <w:kern w:val="36"/>
          <w:sz w:val="24"/>
          <w:szCs w:val="24"/>
        </w:rPr>
        <w:lastRenderedPageBreak/>
        <w:t>第十三部分 基金的财产</w:t>
      </w:r>
      <w:bookmarkEnd w:id="14"/>
    </w:p>
    <w:p w14:paraId="48D2DF43" w14:textId="77777777" w:rsidR="00401986" w:rsidRDefault="00401986">
      <w:pPr>
        <w:widowControl w:val="0"/>
        <w:spacing w:line="360" w:lineRule="auto"/>
        <w:jc w:val="both"/>
        <w:rPr>
          <w:rFonts w:ascii="宋体" w:hAnsi="宋体" w:cs="宋体"/>
          <w:sz w:val="21"/>
          <w:szCs w:val="21"/>
        </w:rPr>
      </w:pPr>
    </w:p>
    <w:p w14:paraId="5CCBE7E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一、基金资产总值</w:t>
      </w:r>
    </w:p>
    <w:p w14:paraId="158D601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基金资产总值是指基金拥有的各类有价证券、银行存款本息、基金应收申购款及其他资产的价值总和。</w:t>
      </w:r>
    </w:p>
    <w:p w14:paraId="6BAC28E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二、基金资产净值</w:t>
      </w:r>
    </w:p>
    <w:p w14:paraId="46A9D18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基金资产净值是指基金资产总值减去基金负债后的价值。</w:t>
      </w:r>
    </w:p>
    <w:p w14:paraId="7BD7F71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三、基金财产的账户</w:t>
      </w:r>
    </w:p>
    <w:p w14:paraId="272F1F6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55D4513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四、基金财产的保管和处分</w:t>
      </w:r>
    </w:p>
    <w:p w14:paraId="4D3C778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宋体" w:hAnsi="宋体" w:cs="宋体"/>
          <w:sz w:val="21"/>
          <w:szCs w:val="21"/>
        </w:rPr>
        <w:t>律法规</w:t>
      </w:r>
      <w:proofErr w:type="gramEnd"/>
      <w:r>
        <w:rPr>
          <w:rFonts w:ascii="宋体" w:hAnsi="宋体" w:cs="宋体"/>
          <w:sz w:val="21"/>
          <w:szCs w:val="21"/>
        </w:rPr>
        <w:t>和《基金合同》的规定处分外，基金财产不得被处分。</w:t>
      </w:r>
    </w:p>
    <w:p w14:paraId="23C374D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cs="宋体"/>
          <w:sz w:val="21"/>
          <w:szCs w:val="21"/>
        </w:rPr>
        <w:t>抵销</w:t>
      </w:r>
      <w:proofErr w:type="gramEnd"/>
      <w:r>
        <w:rPr>
          <w:rFonts w:ascii="宋体" w:hAnsi="宋体" w:cs="宋体"/>
          <w:sz w:val="21"/>
          <w:szCs w:val="21"/>
        </w:rPr>
        <w:t>；基金管理人管理运作不同基金的基金财产所产生的债权债务不得相互</w:t>
      </w:r>
      <w:proofErr w:type="gramStart"/>
      <w:r>
        <w:rPr>
          <w:rFonts w:ascii="宋体" w:hAnsi="宋体" w:cs="宋体"/>
          <w:sz w:val="21"/>
          <w:szCs w:val="21"/>
        </w:rPr>
        <w:t>抵销</w:t>
      </w:r>
      <w:proofErr w:type="gramEnd"/>
      <w:r>
        <w:rPr>
          <w:rFonts w:ascii="宋体" w:hAnsi="宋体" w:cs="宋体"/>
          <w:sz w:val="21"/>
          <w:szCs w:val="21"/>
        </w:rPr>
        <w:t>。非因基金财产本身承担的债务，不得对基金财产强制执行。</w:t>
      </w:r>
    </w:p>
    <w:p w14:paraId="1C66A91D" w14:textId="77777777" w:rsidR="00401986" w:rsidRDefault="00B137D7">
      <w:pPr>
        <w:pStyle w:val="1"/>
        <w:keepLines/>
        <w:pageBreakBefore/>
        <w:widowControl w:val="0"/>
        <w:spacing w:before="210" w:after="0" w:line="360" w:lineRule="auto"/>
        <w:jc w:val="center"/>
        <w:rPr>
          <w:rFonts w:ascii="Times New Roman" w:eastAsia="Times New Roman" w:hAnsi="Times New Roman" w:cs="Times New Roman"/>
        </w:rPr>
      </w:pPr>
      <w:bookmarkStart w:id="15" w:name="_Toc256000013"/>
      <w:r>
        <w:rPr>
          <w:rFonts w:ascii="宋体" w:hAnsi="宋体" w:cs="宋体"/>
          <w:kern w:val="36"/>
          <w:sz w:val="24"/>
          <w:szCs w:val="24"/>
        </w:rPr>
        <w:lastRenderedPageBreak/>
        <w:t>第十四部分 基金资产估值</w:t>
      </w:r>
      <w:bookmarkEnd w:id="15"/>
    </w:p>
    <w:p w14:paraId="29726FD0" w14:textId="77777777" w:rsidR="00401986" w:rsidRDefault="00401986">
      <w:pPr>
        <w:widowControl w:val="0"/>
        <w:spacing w:line="360" w:lineRule="auto"/>
        <w:jc w:val="both"/>
        <w:rPr>
          <w:rFonts w:ascii="宋体" w:hAnsi="宋体" w:cs="宋体"/>
          <w:sz w:val="21"/>
          <w:szCs w:val="21"/>
        </w:rPr>
      </w:pPr>
    </w:p>
    <w:p w14:paraId="263853D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一、估值日</w:t>
      </w:r>
    </w:p>
    <w:p w14:paraId="59F4E0F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本基金的估值日为本基金相关的证券交易场所的交易日以及国家法律法规规定需要对外披露基金净值的</w:t>
      </w:r>
      <w:proofErr w:type="gramStart"/>
      <w:r>
        <w:rPr>
          <w:rFonts w:ascii="宋体" w:hAnsi="宋体" w:cs="宋体"/>
          <w:sz w:val="21"/>
          <w:szCs w:val="21"/>
        </w:rPr>
        <w:t>非交易</w:t>
      </w:r>
      <w:proofErr w:type="gramEnd"/>
      <w:r>
        <w:rPr>
          <w:rFonts w:ascii="宋体" w:hAnsi="宋体" w:cs="宋体"/>
          <w:sz w:val="21"/>
          <w:szCs w:val="21"/>
        </w:rPr>
        <w:t>日。</w:t>
      </w:r>
    </w:p>
    <w:p w14:paraId="2267C56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二、估值对象</w:t>
      </w:r>
    </w:p>
    <w:p w14:paraId="020D513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基金所拥有的</w:t>
      </w:r>
      <w:r>
        <w:rPr>
          <w:rFonts w:ascii="宋体" w:hAnsi="宋体" w:cs="宋体" w:hint="eastAsia"/>
          <w:sz w:val="21"/>
          <w:szCs w:val="21"/>
        </w:rPr>
        <w:t>股票</w:t>
      </w:r>
      <w:r>
        <w:rPr>
          <w:rFonts w:ascii="宋体" w:hAnsi="宋体" w:cs="宋体"/>
          <w:sz w:val="21"/>
          <w:szCs w:val="21"/>
        </w:rPr>
        <w:t>、债券、国债期货合约、资产支持证券和银行存款本息、应收款项、其它投资等资产及负债。</w:t>
      </w:r>
    </w:p>
    <w:p w14:paraId="53F29A4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三、估值原则</w:t>
      </w:r>
    </w:p>
    <w:p w14:paraId="1D157F1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基金管理人在确定相关金融资产和金融负债的公允价值时，应符合《企业会计准则》、监管部门有关规定。</w:t>
      </w:r>
    </w:p>
    <w:p w14:paraId="5CB8A7E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30D7AD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72E7FF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DF01C3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（三）如经济环境发生重大变化或证券发行人发生影响证券价格的重大事件，使潜在估值调整对前一估值日的基金资产净值的影响在0.25%以上的，应对估值进行调整并确定公允价值。</w:t>
      </w:r>
    </w:p>
    <w:p w14:paraId="3F7762F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四、估值方法</w:t>
      </w:r>
    </w:p>
    <w:p w14:paraId="621D6B2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1、证券交易所上市的有价证券的估值</w:t>
      </w:r>
    </w:p>
    <w:p w14:paraId="1DA4E94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交易所上市的有价证券（固定收益品种除外），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w:t>
      </w:r>
      <w:r>
        <w:rPr>
          <w:rFonts w:ascii="宋体" w:hAnsi="宋体" w:cs="宋体" w:hint="eastAsia"/>
          <w:sz w:val="21"/>
          <w:szCs w:val="21"/>
        </w:rPr>
        <w:lastRenderedPageBreak/>
        <w:t>考类似投资品种的现行市价及重大变化因素，调整最近交易市价，确定公允价格。</w:t>
      </w:r>
    </w:p>
    <w:p w14:paraId="5A95F30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2、固定收益品种的估值</w:t>
      </w:r>
    </w:p>
    <w:p w14:paraId="459A24A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（1）对于已上市或已挂牌转让的不含</w:t>
      </w:r>
      <w:proofErr w:type="gramStart"/>
      <w:r>
        <w:rPr>
          <w:rFonts w:ascii="宋体" w:hAnsi="宋体" w:cs="宋体" w:hint="eastAsia"/>
          <w:sz w:val="21"/>
          <w:szCs w:val="21"/>
        </w:rPr>
        <w:t>权固定</w:t>
      </w:r>
      <w:proofErr w:type="gramEnd"/>
      <w:r>
        <w:rPr>
          <w:rFonts w:ascii="宋体" w:hAnsi="宋体" w:cs="宋体" w:hint="eastAsia"/>
          <w:sz w:val="21"/>
          <w:szCs w:val="21"/>
        </w:rPr>
        <w:t>收益品种（另有规定的除外），选取第三方估值基准服务机构提供的相应品种当日的估值全价进行估值。</w:t>
      </w:r>
    </w:p>
    <w:p w14:paraId="457CAF7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（2）对于已上市或已挂牌转让的含</w:t>
      </w:r>
      <w:proofErr w:type="gramStart"/>
      <w:r>
        <w:rPr>
          <w:rFonts w:ascii="宋体" w:hAnsi="宋体" w:cs="宋体" w:hint="eastAsia"/>
          <w:sz w:val="21"/>
          <w:szCs w:val="21"/>
        </w:rPr>
        <w:t>权固定</w:t>
      </w:r>
      <w:proofErr w:type="gramEnd"/>
      <w:r>
        <w:rPr>
          <w:rFonts w:ascii="宋体" w:hAnsi="宋体" w:cs="宋体" w:hint="eastAsia"/>
          <w:sz w:val="21"/>
          <w:szCs w:val="21"/>
        </w:rPr>
        <w:t>收益品种（另有规定的除外），选取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进行估值。同时应充分考虑发行人的信用风险变化对公允价值的影响。回售登记期截止日（含当日）后未行使回售权的按照长待偿期所对应的价格进行估值。</w:t>
      </w:r>
    </w:p>
    <w:p w14:paraId="611F8BA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3）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23D076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（4）对于未上市或未挂牌转让且不存在活跃市场的固定收益品种，采用在当前情况下适用并且有足够可利用数据和其他信息支持的估值技术确定其公允价值。</w:t>
      </w:r>
    </w:p>
    <w:p w14:paraId="4A5167F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3、处于未上市期间的有价证券应区分如下情况处理：</w:t>
      </w:r>
    </w:p>
    <w:p w14:paraId="300F148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（1）送股、转增股、配股和公开增发的新股，按估值日在证券交易所挂牌的同一股票的估值方法估值；该日无交易的，以最近一日的市价（收盘价）估值。</w:t>
      </w:r>
    </w:p>
    <w:p w14:paraId="4D933AAF" w14:textId="16C664EB"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（2）首次公开发行未上市的股票，采用估值技术确定公允价值。</w:t>
      </w:r>
    </w:p>
    <w:p w14:paraId="28E97E6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cs="宋体" w:hint="eastAsia"/>
          <w:sz w:val="21"/>
          <w:szCs w:val="21"/>
        </w:rPr>
        <w:t>券</w:t>
      </w:r>
      <w:proofErr w:type="gramEnd"/>
      <w:r>
        <w:rPr>
          <w:rFonts w:ascii="宋体" w:hAnsi="宋体" w:cs="宋体" w:hint="eastAsia"/>
          <w:sz w:val="21"/>
          <w:szCs w:val="21"/>
        </w:rPr>
        <w:t>等流通受限股票，按监管机构或行业协会有关规定确定公允价值。</w:t>
      </w:r>
    </w:p>
    <w:p w14:paraId="20A2464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4、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36ABE2F0" w14:textId="541A595F"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5</w:t>
      </w:r>
      <w:r>
        <w:rPr>
          <w:rFonts w:ascii="宋体" w:hAnsi="宋体" w:cs="宋体"/>
          <w:sz w:val="21"/>
          <w:szCs w:val="21"/>
        </w:rPr>
        <w:t>、同一</w:t>
      </w:r>
      <w:r>
        <w:rPr>
          <w:rFonts w:ascii="宋体" w:hAnsi="宋体" w:cs="宋体" w:hint="eastAsia"/>
          <w:sz w:val="21"/>
          <w:szCs w:val="21"/>
        </w:rPr>
        <w:t>债券</w:t>
      </w:r>
      <w:r>
        <w:rPr>
          <w:rFonts w:ascii="宋体" w:hAnsi="宋体" w:cs="宋体"/>
          <w:sz w:val="21"/>
          <w:szCs w:val="21"/>
        </w:rPr>
        <w:t>同时在两个或两个以上市场交易的，按债券所处的市场分别估值。</w:t>
      </w:r>
    </w:p>
    <w:p w14:paraId="7B2DD811" w14:textId="11E36EBA"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6</w:t>
      </w:r>
      <w:r>
        <w:rPr>
          <w:rFonts w:ascii="宋体" w:hAnsi="宋体" w:cs="宋体"/>
          <w:sz w:val="21"/>
          <w:szCs w:val="21"/>
        </w:rPr>
        <w:t>、国债期货合约，以估值日结算价估值；估值日无结算价的，且最近交易日后经济环境未发生重大变化的，以最近交易日的结算价估值。</w:t>
      </w:r>
    </w:p>
    <w:p w14:paraId="28C6FDF0" w14:textId="5D1B878C"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7</w:t>
      </w:r>
      <w:r>
        <w:rPr>
          <w:rFonts w:ascii="宋体" w:hAnsi="宋体" w:cs="宋体"/>
          <w:sz w:val="21"/>
          <w:szCs w:val="21"/>
        </w:rPr>
        <w:t>、如有确凿证据表明按上述方法进行估值不能客观反映其公允价值的，基金管理人可根据具体情况与基金托管人商定后，按最能反映公允价值的价格估值。</w:t>
      </w:r>
    </w:p>
    <w:p w14:paraId="75089A1B" w14:textId="042BE59F"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8</w:t>
      </w:r>
      <w:r>
        <w:rPr>
          <w:rFonts w:ascii="宋体" w:hAnsi="宋体" w:cs="宋体"/>
          <w:sz w:val="21"/>
          <w:szCs w:val="21"/>
        </w:rPr>
        <w:t>、当发生大额申购或赎回情形时，基金管理人可以采用摆动定价机制，以确保基金估</w:t>
      </w:r>
      <w:r>
        <w:rPr>
          <w:rFonts w:ascii="宋体" w:hAnsi="宋体" w:cs="宋体"/>
          <w:sz w:val="21"/>
          <w:szCs w:val="21"/>
        </w:rPr>
        <w:lastRenderedPageBreak/>
        <w:t>值的公平性。</w:t>
      </w:r>
    </w:p>
    <w:p w14:paraId="660CE74E" w14:textId="2314BD7C"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9</w:t>
      </w:r>
      <w:r>
        <w:rPr>
          <w:rFonts w:ascii="宋体" w:hAnsi="宋体" w:cs="宋体"/>
          <w:sz w:val="21"/>
          <w:szCs w:val="21"/>
        </w:rPr>
        <w:t>、相关法律法规以及监管部门、自律规则另有规定的，从其规定。如有新增事项，按国家最新规定估值。</w:t>
      </w:r>
    </w:p>
    <w:p w14:paraId="181291F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1B75DF5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ascii="宋体" w:hAnsi="宋体" w:cs="宋体" w:hint="eastAsia"/>
          <w:sz w:val="21"/>
          <w:szCs w:val="21"/>
        </w:rPr>
        <w:t>基金管理人向基金托管人出具盖章的书面说明后，</w:t>
      </w:r>
      <w:r>
        <w:rPr>
          <w:rFonts w:ascii="宋体" w:hAnsi="宋体" w:cs="宋体"/>
          <w:sz w:val="21"/>
          <w:szCs w:val="21"/>
        </w:rPr>
        <w:t>按照基金管理人对基金净值信息的计算结果对外予以公布。</w:t>
      </w:r>
    </w:p>
    <w:p w14:paraId="14069C3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五、估值程序</w:t>
      </w:r>
    </w:p>
    <w:p w14:paraId="5CA3FB5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1、各类基金份额净值是按照每个工作日闭市后，该类基金资产净值除以当日该类基金份额的余额数量计算，</w:t>
      </w:r>
      <w:r>
        <w:rPr>
          <w:rFonts w:ascii="宋体" w:hAnsi="宋体" w:cs="宋体" w:hint="eastAsia"/>
          <w:sz w:val="21"/>
          <w:szCs w:val="21"/>
        </w:rPr>
        <w:t>均</w:t>
      </w:r>
      <w:r>
        <w:rPr>
          <w:rFonts w:ascii="宋体" w:hAnsi="宋体" w:cs="宋体"/>
          <w:sz w:val="21"/>
          <w:szCs w:val="21"/>
        </w:rPr>
        <w:t>精确到0.0001元，小数点后第5位四舍五入。基金管理人可以设立大额赎回情形下的净值精度应急调整机制。国家另有规定的，从其规定。</w:t>
      </w:r>
    </w:p>
    <w:p w14:paraId="19EE212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每个工作日计算基金资产净值及各类基金份额净值，并按规定公告。</w:t>
      </w:r>
    </w:p>
    <w:p w14:paraId="5F79D7B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2、基金管理人</w:t>
      </w:r>
      <w:proofErr w:type="gramStart"/>
      <w:r>
        <w:rPr>
          <w:rFonts w:ascii="宋体" w:hAnsi="宋体" w:cs="宋体"/>
          <w:sz w:val="21"/>
          <w:szCs w:val="21"/>
        </w:rPr>
        <w:t>应每个</w:t>
      </w:r>
      <w:proofErr w:type="gramEnd"/>
      <w:r>
        <w:rPr>
          <w:rFonts w:ascii="宋体" w:hAnsi="宋体" w:cs="宋体"/>
          <w:sz w:val="21"/>
          <w:szCs w:val="21"/>
        </w:rPr>
        <w:t>工作日对基金资产估值。但基金管理人根据法律法规或本基金合同的规定暂停估值时除外。基金管理人每个工作日对基金资产估值后，将各类基金份额净值结果发送基金托管人，经基金托管人复核无误后，由基金管理人</w:t>
      </w:r>
      <w:r>
        <w:rPr>
          <w:rFonts w:ascii="宋体" w:hAnsi="宋体" w:cs="宋体" w:hint="eastAsia"/>
          <w:sz w:val="21"/>
          <w:szCs w:val="21"/>
        </w:rPr>
        <w:t>按规定</w:t>
      </w:r>
      <w:r>
        <w:rPr>
          <w:rFonts w:ascii="宋体" w:hAnsi="宋体" w:cs="宋体"/>
          <w:sz w:val="21"/>
          <w:szCs w:val="21"/>
        </w:rPr>
        <w:t>对外公布。</w:t>
      </w:r>
    </w:p>
    <w:p w14:paraId="605644F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六、估值错误的处理</w:t>
      </w:r>
    </w:p>
    <w:p w14:paraId="68A00F9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基金管理人和基金托管人将采取必要、适当、合理的措施确保基金资产估值的准确性、及时性。当任一类基金份额净值小数点后4位以内（含第4位）发生估值错误时，视为该类基金份额净值错误。</w:t>
      </w:r>
    </w:p>
    <w:p w14:paraId="5F82201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本基金合同的当事人应按照以下约定处理：</w:t>
      </w:r>
    </w:p>
    <w:p w14:paraId="1E15FA3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1、估值错误类型</w:t>
      </w:r>
    </w:p>
    <w:p w14:paraId="4C2C93A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652943A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上述估值错误的主要类型包括但不限于：资料申报差错、数据传输差错、数据计算差错、系统故障差错、下达指令差错等。</w:t>
      </w:r>
    </w:p>
    <w:p w14:paraId="7B167E7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2、估值错误处理原则</w:t>
      </w:r>
    </w:p>
    <w:p w14:paraId="28FF938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w:t>
      </w:r>
      <w:r>
        <w:rPr>
          <w:rFonts w:ascii="宋体" w:hAnsi="宋体" w:cs="宋体"/>
          <w:sz w:val="21"/>
          <w:szCs w:val="21"/>
        </w:rPr>
        <w:lastRenderedPageBreak/>
        <w:t>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FCB36F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（2）估值错误的责任方对有关当事人的直接损失负责，不对间接损失负责，并且仅对估值错误的有关直接当事人负责，不对第三方负责。</w:t>
      </w:r>
    </w:p>
    <w:p w14:paraId="6207D5C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（3）因估值错误而获得不当得利的当事人负有及时返还不当得利的义务。但估值错误责任方仍应对估值错误负责。如果由于获得不当得利的当事人</w:t>
      </w:r>
      <w:proofErr w:type="gramStart"/>
      <w:r>
        <w:rPr>
          <w:rFonts w:ascii="宋体" w:hAnsi="宋体" w:cs="宋体"/>
          <w:sz w:val="21"/>
          <w:szCs w:val="21"/>
        </w:rPr>
        <w:t>不</w:t>
      </w:r>
      <w:proofErr w:type="gramEnd"/>
      <w:r>
        <w:rPr>
          <w:rFonts w:ascii="宋体" w:hAnsi="宋体" w:cs="宋体"/>
          <w:sz w:val="21"/>
          <w:szCs w:val="21"/>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1A0200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（4）估值错误调整采用尽量恢复至假设未发生估值错误的正确情形的方式。</w:t>
      </w:r>
    </w:p>
    <w:p w14:paraId="56FABC3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估值错误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w:t>
      </w:r>
      <w:r>
        <w:rPr>
          <w:rFonts w:ascii="宋体" w:hAnsi="宋体" w:cs="宋体" w:hint="eastAsia"/>
          <w:sz w:val="21"/>
          <w:szCs w:val="21"/>
        </w:rPr>
        <w:t>基金</w:t>
      </w:r>
      <w:r>
        <w:rPr>
          <w:rFonts w:ascii="宋体" w:hAnsi="宋体" w:cs="宋体"/>
          <w:sz w:val="21"/>
          <w:szCs w:val="21"/>
        </w:rPr>
        <w:t>托管人之外的第三方造成基金资产的损失，并拒绝进行赔偿时，由基金管理人负责向差错方追偿。</w:t>
      </w:r>
    </w:p>
    <w:p w14:paraId="6C13388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（6）如果出现估值错误的当事人未按规定对受损方进行赔偿，并且依据法律、行政法规、《基金合同》或其他规定，基金管理人自行或依据法院判决</w:t>
      </w:r>
      <w:r>
        <w:rPr>
          <w:rFonts w:ascii="宋体" w:hAnsi="宋体" w:cs="宋体" w:hint="eastAsia"/>
          <w:sz w:val="21"/>
          <w:szCs w:val="21"/>
        </w:rPr>
        <w:t>或裁定</w:t>
      </w:r>
      <w:r>
        <w:rPr>
          <w:rFonts w:ascii="宋体" w:hAnsi="宋体" w:cs="宋体"/>
          <w:sz w:val="21"/>
          <w:szCs w:val="21"/>
        </w:rPr>
        <w:t>、仲裁裁决对受损方承担了赔偿责任，</w:t>
      </w:r>
      <w:proofErr w:type="gramStart"/>
      <w:r>
        <w:rPr>
          <w:rFonts w:ascii="宋体" w:hAnsi="宋体" w:cs="宋体"/>
          <w:sz w:val="21"/>
          <w:szCs w:val="21"/>
        </w:rPr>
        <w:t>则基金</w:t>
      </w:r>
      <w:proofErr w:type="gramEnd"/>
      <w:r>
        <w:rPr>
          <w:rFonts w:ascii="宋体" w:hAnsi="宋体" w:cs="宋体"/>
          <w:sz w:val="21"/>
          <w:szCs w:val="21"/>
        </w:rPr>
        <w:t>管理人有权向出现过错的当事人进行追索，并有权要求其赔偿或补偿由此发生的费用和遭受的损失。</w:t>
      </w:r>
    </w:p>
    <w:p w14:paraId="386BCBB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（7）按法律法规规定的其他原则处理估值错误。</w:t>
      </w:r>
    </w:p>
    <w:p w14:paraId="1A72E1F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3、估值错误处理程序</w:t>
      </w:r>
    </w:p>
    <w:p w14:paraId="4453298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估值错误被发现后，有关的当事人应当及时进行处理，处理的程序如下：</w:t>
      </w:r>
    </w:p>
    <w:p w14:paraId="456C07D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（1）查明估值错误发生的原因，列明所有的当事人，并根据估值错误发生的原因确定估值错误的责任方；</w:t>
      </w:r>
    </w:p>
    <w:p w14:paraId="5C76867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（2）根据估值错误处理原则或当事人协商的方法对因估值错误造成的损失进行评估；</w:t>
      </w:r>
    </w:p>
    <w:p w14:paraId="4A128E7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（3）根据估值错误处理原则或当事人协商的方法由估值错误的责任方进行更正和赔偿损失；</w:t>
      </w:r>
    </w:p>
    <w:p w14:paraId="44F0BE1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（4）根据估值错误处理的方法，需要修改基金登记机构交易数据的，由基金登记机构进行更正，并就估值错误的更正向有关当事人进行确认。</w:t>
      </w:r>
    </w:p>
    <w:p w14:paraId="62B8E45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4、基金份额净值估值错误处理的方法如下：</w:t>
      </w:r>
    </w:p>
    <w:p w14:paraId="6A1D176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（1）任一类基金份额净值计算出现错误时，基金管理人应当立即予以纠正，通报基金托管人，并采取合理的措施防止损失进一步扩大。</w:t>
      </w:r>
    </w:p>
    <w:p w14:paraId="79189C6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lastRenderedPageBreak/>
        <w:t>（2）错误偏差达到该类基金份额净值的0.25%时，基金管理人应当通报基金托管人并报中国证监会备案；错误偏差达到该类基金份额净值的0.5%时，基金管理人应当公告，并报中国证监会备案。</w:t>
      </w:r>
    </w:p>
    <w:p w14:paraId="40359D5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（3）前述内容如法律法规或监管机关另有规定的，从其规定处理。</w:t>
      </w:r>
    </w:p>
    <w:p w14:paraId="63E134B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七、暂停估值的情形</w:t>
      </w:r>
    </w:p>
    <w:p w14:paraId="51B0603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1、基金投资所涉及的证券/期货交易市场遇法定节假日或因其他原因暂停营业时；</w:t>
      </w:r>
    </w:p>
    <w:p w14:paraId="7667207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2、因不可抗力致使基金管理人、基金托管人无法准确评估基金资产价值时；</w:t>
      </w:r>
    </w:p>
    <w:p w14:paraId="6D55B8A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3、当特定资产占前一估值日基金资产净值50%以上的，经与基金托管人协商确认后，基金管理人应当暂停估值；</w:t>
      </w:r>
    </w:p>
    <w:p w14:paraId="0C9960F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4、法律法规、中国证监会和基金合同认定的其它情形。</w:t>
      </w:r>
    </w:p>
    <w:p w14:paraId="732ABC0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八、基金净值的确认</w:t>
      </w:r>
    </w:p>
    <w:p w14:paraId="497C2485" w14:textId="501DAB7A"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基金资产净值、各类基金份额净值由基金管理人负责计算，基金托管人负责进行复核。基金管理人应于每个</w:t>
      </w:r>
      <w:r>
        <w:rPr>
          <w:rFonts w:ascii="宋体" w:hAnsi="宋体" w:cs="宋体" w:hint="eastAsia"/>
          <w:sz w:val="21"/>
          <w:szCs w:val="21"/>
        </w:rPr>
        <w:t>工作</w:t>
      </w:r>
      <w:r>
        <w:rPr>
          <w:rFonts w:ascii="宋体" w:hAnsi="宋体" w:cs="宋体"/>
          <w:sz w:val="21"/>
          <w:szCs w:val="21"/>
        </w:rPr>
        <w:t>日交易结束后计算当日的基金资产净值、各类基金份额净值并发送给基金托管人。基金托管人对净值计算结果复核确认后发送给基金管理人，由基金管理人对基金净值予以公布。</w:t>
      </w:r>
    </w:p>
    <w:p w14:paraId="1D4843C9" w14:textId="7FAF23D7" w:rsidR="00F476C7" w:rsidRDefault="00F476C7">
      <w:pPr>
        <w:widowControl w:val="0"/>
        <w:spacing w:line="360" w:lineRule="auto"/>
        <w:ind w:firstLine="420"/>
        <w:jc w:val="both"/>
        <w:rPr>
          <w:rFonts w:ascii="宋体" w:hAnsi="宋体" w:cs="宋体"/>
          <w:sz w:val="21"/>
          <w:szCs w:val="21"/>
        </w:rPr>
      </w:pPr>
      <w:r w:rsidRPr="00F476C7">
        <w:rPr>
          <w:rFonts w:ascii="宋体" w:hAnsi="宋体" w:cs="宋体" w:hint="eastAsia"/>
          <w:sz w:val="21"/>
          <w:szCs w:val="21"/>
        </w:rPr>
        <w:t>本基金在每个工作日计算C类基金份额的基金资产净值和基金份额净值时，将统一按前一日C类基金份额的基金资产净值的0.</w:t>
      </w:r>
      <w:r>
        <w:rPr>
          <w:rFonts w:ascii="宋体" w:hAnsi="宋体" w:cs="宋体"/>
          <w:sz w:val="21"/>
          <w:szCs w:val="21"/>
        </w:rPr>
        <w:t>2</w:t>
      </w:r>
      <w:r w:rsidRPr="00F476C7">
        <w:rPr>
          <w:rFonts w:ascii="宋体" w:hAnsi="宋体" w:cs="宋体" w:hint="eastAsia"/>
          <w:sz w:val="21"/>
          <w:szCs w:val="21"/>
        </w:rPr>
        <w:t>0%的年费率计算销售服务费，C类基金份额的投资者实际承担的销售服务费将依据本基金合同“第十五部分 基金费用与税收”的约定计算和收取。</w:t>
      </w:r>
    </w:p>
    <w:p w14:paraId="3A91E35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九、实施</w:t>
      </w:r>
      <w:proofErr w:type="gramStart"/>
      <w:r>
        <w:rPr>
          <w:rFonts w:ascii="宋体" w:hAnsi="宋体" w:cs="宋体"/>
          <w:sz w:val="21"/>
          <w:szCs w:val="21"/>
        </w:rPr>
        <w:t>侧袋机制</w:t>
      </w:r>
      <w:proofErr w:type="gramEnd"/>
      <w:r>
        <w:rPr>
          <w:rFonts w:ascii="宋体" w:hAnsi="宋体" w:cs="宋体"/>
          <w:sz w:val="21"/>
          <w:szCs w:val="21"/>
        </w:rPr>
        <w:t>期间的基金资产估值</w:t>
      </w:r>
    </w:p>
    <w:p w14:paraId="09CBAFC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本基金实施</w:t>
      </w:r>
      <w:proofErr w:type="gramStart"/>
      <w:r>
        <w:rPr>
          <w:rFonts w:ascii="宋体" w:hAnsi="宋体" w:cs="宋体"/>
          <w:sz w:val="21"/>
          <w:szCs w:val="21"/>
        </w:rPr>
        <w:t>侧袋机制</w:t>
      </w:r>
      <w:proofErr w:type="gramEnd"/>
      <w:r>
        <w:rPr>
          <w:rFonts w:ascii="宋体" w:hAnsi="宋体" w:cs="宋体"/>
          <w:sz w:val="21"/>
          <w:szCs w:val="21"/>
        </w:rPr>
        <w:t>的，应根据本部分的约定</w:t>
      </w:r>
      <w:proofErr w:type="gramStart"/>
      <w:r>
        <w:rPr>
          <w:rFonts w:ascii="宋体" w:hAnsi="宋体" w:cs="宋体"/>
          <w:sz w:val="21"/>
          <w:szCs w:val="21"/>
        </w:rPr>
        <w:t>对主袋账</w:t>
      </w:r>
      <w:proofErr w:type="gramEnd"/>
      <w:r>
        <w:rPr>
          <w:rFonts w:ascii="宋体" w:hAnsi="宋体" w:cs="宋体"/>
          <w:sz w:val="21"/>
          <w:szCs w:val="21"/>
        </w:rPr>
        <w:t>户资产进行估值并</w:t>
      </w:r>
      <w:proofErr w:type="gramStart"/>
      <w:r>
        <w:rPr>
          <w:rFonts w:ascii="宋体" w:hAnsi="宋体" w:cs="宋体"/>
          <w:sz w:val="21"/>
          <w:szCs w:val="21"/>
        </w:rPr>
        <w:t>披露主袋账</w:t>
      </w:r>
      <w:proofErr w:type="gramEnd"/>
      <w:r>
        <w:rPr>
          <w:rFonts w:ascii="宋体" w:hAnsi="宋体" w:cs="宋体"/>
          <w:sz w:val="21"/>
          <w:szCs w:val="21"/>
        </w:rPr>
        <w:t>户的基金净值信息，暂停</w:t>
      </w:r>
      <w:proofErr w:type="gramStart"/>
      <w:r>
        <w:rPr>
          <w:rFonts w:ascii="宋体" w:hAnsi="宋体" w:cs="宋体"/>
          <w:sz w:val="21"/>
          <w:szCs w:val="21"/>
        </w:rPr>
        <w:t>披露侧袋账</w:t>
      </w:r>
      <w:proofErr w:type="gramEnd"/>
      <w:r>
        <w:rPr>
          <w:rFonts w:ascii="宋体" w:hAnsi="宋体" w:cs="宋体"/>
          <w:sz w:val="21"/>
          <w:szCs w:val="21"/>
        </w:rPr>
        <w:t>户份额净值。</w:t>
      </w:r>
    </w:p>
    <w:p w14:paraId="6623A5C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十、特殊情形的处理</w:t>
      </w:r>
    </w:p>
    <w:p w14:paraId="009BDBDA" w14:textId="52A96B0F"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1、基金管理人或基金托管人按估值方法的第</w:t>
      </w:r>
      <w:r>
        <w:rPr>
          <w:rFonts w:ascii="宋体" w:hAnsi="宋体" w:cs="宋体" w:hint="eastAsia"/>
          <w:sz w:val="21"/>
          <w:szCs w:val="21"/>
        </w:rPr>
        <w:t>7</w:t>
      </w:r>
      <w:r>
        <w:rPr>
          <w:rFonts w:ascii="宋体" w:hAnsi="宋体" w:cs="宋体"/>
          <w:sz w:val="21"/>
          <w:szCs w:val="21"/>
        </w:rPr>
        <w:t>项进行估值时，所造成的误差不作为基金资产估值错误处理。</w:t>
      </w:r>
    </w:p>
    <w:p w14:paraId="259B3D0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2、由于不可抗力原因，或由于证券/期货交易所、登记结算公司以及存款银行等第三方机构发送的数据错误</w:t>
      </w:r>
      <w:r>
        <w:rPr>
          <w:rFonts w:ascii="宋体" w:hAnsi="宋体" w:cs="宋体" w:hint="eastAsia"/>
          <w:sz w:val="21"/>
          <w:szCs w:val="21"/>
        </w:rPr>
        <w:t>、遗漏</w:t>
      </w:r>
      <w:r>
        <w:rPr>
          <w:rFonts w:ascii="宋体" w:hAnsi="宋体" w:cs="宋体"/>
          <w:sz w:val="21"/>
          <w:szCs w:val="21"/>
        </w:rPr>
        <w:t>，或由于国家会计政策变更、市场规则变更等</w:t>
      </w:r>
      <w:proofErr w:type="gramStart"/>
      <w:r>
        <w:rPr>
          <w:rFonts w:ascii="宋体" w:hAnsi="宋体" w:cs="宋体" w:hint="eastAsia"/>
          <w:sz w:val="21"/>
          <w:szCs w:val="21"/>
        </w:rPr>
        <w:t>非基金</w:t>
      </w:r>
      <w:proofErr w:type="gramEnd"/>
      <w:r>
        <w:rPr>
          <w:rFonts w:ascii="宋体" w:hAnsi="宋体" w:cs="宋体" w:hint="eastAsia"/>
          <w:sz w:val="21"/>
          <w:szCs w:val="21"/>
        </w:rPr>
        <w:t>管理人与基金托管人</w:t>
      </w:r>
      <w:r>
        <w:rPr>
          <w:rFonts w:ascii="宋体" w:hAnsi="宋体" w:cs="宋体"/>
          <w:sz w:val="21"/>
          <w:szCs w:val="21"/>
        </w:rPr>
        <w:t>原因，基金管理人和基金托管人虽然已经采取必要、适当、合理的措施进行检查，但是未能发现该错误而造成的基金资产净值计算错误，基金管理人和基金托管人免除赔偿责任。但基金管理人、基金托管人应当积极采取必要的措施减轻或消除由此造成的影响。</w:t>
      </w:r>
    </w:p>
    <w:p w14:paraId="4F822285" w14:textId="77777777" w:rsidR="00401986" w:rsidRDefault="00B137D7" w:rsidP="00A20920">
      <w:pPr>
        <w:pStyle w:val="1"/>
        <w:keepLines/>
        <w:pageBreakBefore/>
        <w:widowControl w:val="0"/>
        <w:spacing w:before="210" w:after="0" w:line="360" w:lineRule="auto"/>
        <w:ind w:firstLine="420"/>
        <w:jc w:val="center"/>
        <w:rPr>
          <w:rFonts w:ascii="Times New Roman" w:eastAsia="Times New Roman" w:hAnsi="Times New Roman" w:cs="Times New Roman"/>
        </w:rPr>
      </w:pPr>
      <w:bookmarkStart w:id="16" w:name="_Toc256000014"/>
      <w:r>
        <w:rPr>
          <w:rFonts w:ascii="宋体" w:hAnsi="宋体" w:cs="宋体"/>
          <w:kern w:val="36"/>
          <w:sz w:val="24"/>
          <w:szCs w:val="24"/>
        </w:rPr>
        <w:lastRenderedPageBreak/>
        <w:t>第十五部分 基金费用与税收</w:t>
      </w:r>
      <w:bookmarkEnd w:id="16"/>
    </w:p>
    <w:p w14:paraId="4E731963" w14:textId="77777777" w:rsidR="00401986" w:rsidRDefault="00401986">
      <w:pPr>
        <w:widowControl w:val="0"/>
        <w:spacing w:line="360" w:lineRule="auto"/>
        <w:jc w:val="both"/>
        <w:rPr>
          <w:rFonts w:ascii="宋体" w:hAnsi="宋体" w:cs="宋体"/>
          <w:sz w:val="21"/>
          <w:szCs w:val="21"/>
        </w:rPr>
      </w:pPr>
    </w:p>
    <w:p w14:paraId="30A1D95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一、基金费用的种类</w:t>
      </w:r>
    </w:p>
    <w:p w14:paraId="4C1B811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1、基金管理人的管理费；</w:t>
      </w:r>
    </w:p>
    <w:p w14:paraId="56337EA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2、基金托管人的托管费；</w:t>
      </w:r>
    </w:p>
    <w:p w14:paraId="108EDB2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3、基金销售服务费；</w:t>
      </w:r>
    </w:p>
    <w:p w14:paraId="537B5FF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4、《基金合同》生效后与基金相关的信息披露费用；</w:t>
      </w:r>
    </w:p>
    <w:p w14:paraId="3F1E0C15" w14:textId="487D0746"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5、《基金合同》生效后与基金相关的会计师费、律师费、仲裁费、诉讼费</w:t>
      </w:r>
      <w:r>
        <w:rPr>
          <w:rFonts w:ascii="宋体" w:hAnsi="宋体" w:cs="宋体" w:hint="eastAsia"/>
          <w:sz w:val="21"/>
          <w:szCs w:val="21"/>
        </w:rPr>
        <w:t>、</w:t>
      </w:r>
      <w:r>
        <w:rPr>
          <w:rFonts w:ascii="宋体" w:hAnsi="宋体" w:cs="宋体"/>
          <w:sz w:val="21"/>
          <w:szCs w:val="21"/>
        </w:rPr>
        <w:t>公证费；</w:t>
      </w:r>
    </w:p>
    <w:p w14:paraId="7EB7F93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6、基金份额持有人大会费用；</w:t>
      </w:r>
    </w:p>
    <w:p w14:paraId="72E14EB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7、基金的证券/期货等交易费用；</w:t>
      </w:r>
    </w:p>
    <w:p w14:paraId="4896575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8、基金的银行汇划费用；</w:t>
      </w:r>
    </w:p>
    <w:p w14:paraId="4AA184B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9、基金相关账户的开户费用及维护费用；</w:t>
      </w:r>
    </w:p>
    <w:p w14:paraId="316E223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10、按照国家有关规定和《基金合同》约定，可以在基金财产中列支的其他费用。</w:t>
      </w:r>
    </w:p>
    <w:p w14:paraId="6923BD3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二、基金费用计提方法、计提标准和支付方式</w:t>
      </w:r>
    </w:p>
    <w:p w14:paraId="1B1E14D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1、基金管理人的管理费</w:t>
      </w:r>
    </w:p>
    <w:p w14:paraId="6C1312C3" w14:textId="7F8CE6B0"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本基金的管理费按前一日基金资产净值的0.30%年费率计提。管理费的计算方法如下：</w:t>
      </w:r>
    </w:p>
    <w:p w14:paraId="32C3B0B0" w14:textId="5B7ADB1B"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H=E×0.30%÷当年天数</w:t>
      </w:r>
    </w:p>
    <w:p w14:paraId="185E0E8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H为每日应计提的基金管理费</w:t>
      </w:r>
    </w:p>
    <w:p w14:paraId="6B5F380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E为前一日的基金资产净值</w:t>
      </w:r>
    </w:p>
    <w:p w14:paraId="3EF5B4E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基金管理费每日计提，按月支付。由基金托管人根据与基金管理人核对一致的财务数据，自动在月初5</w:t>
      </w:r>
      <w:proofErr w:type="gramStart"/>
      <w:r>
        <w:rPr>
          <w:rFonts w:ascii="宋体" w:hAnsi="宋体" w:cs="宋体" w:hint="eastAsia"/>
          <w:sz w:val="21"/>
          <w:szCs w:val="21"/>
        </w:rPr>
        <w:t>个</w:t>
      </w:r>
      <w:proofErr w:type="gramEnd"/>
      <w:r>
        <w:rPr>
          <w:rFonts w:ascii="宋体" w:hAnsi="宋体" w:cs="宋体" w:hint="eastAsia"/>
          <w:sz w:val="21"/>
          <w:szCs w:val="21"/>
        </w:rPr>
        <w:t>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732A7AC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2、基金托管人的托管费</w:t>
      </w:r>
    </w:p>
    <w:p w14:paraId="3FB420B8" w14:textId="13348DAD"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本基金的托管费按前一日基金资产净值的0.10%的年费率计提。托管费的计算方法如下：</w:t>
      </w:r>
    </w:p>
    <w:p w14:paraId="7C580E2E" w14:textId="622BEAC8"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H=E×0.10%÷当年天数</w:t>
      </w:r>
    </w:p>
    <w:p w14:paraId="5924E4A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H为每日应计提的基金托管费</w:t>
      </w:r>
    </w:p>
    <w:p w14:paraId="7764FB3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E为前一日的基金资产净值</w:t>
      </w:r>
    </w:p>
    <w:p w14:paraId="780736D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基金托管费每日计提，按月支付。由基金托管人根据与基金管理人核对一致的财务数据，自动在月初5</w:t>
      </w:r>
      <w:proofErr w:type="gramStart"/>
      <w:r>
        <w:rPr>
          <w:rFonts w:ascii="宋体" w:hAnsi="宋体" w:cs="宋体" w:hint="eastAsia"/>
          <w:sz w:val="21"/>
          <w:szCs w:val="21"/>
        </w:rPr>
        <w:t>个</w:t>
      </w:r>
      <w:proofErr w:type="gramEnd"/>
      <w:r>
        <w:rPr>
          <w:rFonts w:ascii="宋体" w:hAnsi="宋体" w:cs="宋体" w:hint="eastAsia"/>
          <w:sz w:val="21"/>
          <w:szCs w:val="21"/>
        </w:rPr>
        <w:t>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47CEB9E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lastRenderedPageBreak/>
        <w:t>3、销售服务费</w:t>
      </w:r>
    </w:p>
    <w:p w14:paraId="60BDD15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A类基金份额不收取销售服务费，C类基金份额的销售服务费年费率为0.20%。本基金销售服务费将专门用于本基金的销售与基金份额持有人服务，基金管理人将在基金年度报告中对该项费用的列支情况作专项说明。销售服务费计提的计算公式如下：</w:t>
      </w:r>
    </w:p>
    <w:p w14:paraId="6D15DAD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H=E×0.20%÷当年天数</w:t>
      </w:r>
    </w:p>
    <w:p w14:paraId="7A784B5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H为C类基金份额每日应计提的销售服务费</w:t>
      </w:r>
    </w:p>
    <w:p w14:paraId="73EED9C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E为C类基金份额前一日的基金资产净值</w:t>
      </w:r>
    </w:p>
    <w:p w14:paraId="180CB865" w14:textId="2BC808E3" w:rsidR="00F476C7" w:rsidRPr="00F476C7" w:rsidRDefault="00F476C7" w:rsidP="00F476C7">
      <w:pPr>
        <w:widowControl w:val="0"/>
        <w:spacing w:line="360" w:lineRule="auto"/>
        <w:ind w:firstLine="420"/>
        <w:jc w:val="both"/>
        <w:rPr>
          <w:rFonts w:ascii="宋体" w:hAnsi="宋体" w:cs="宋体"/>
          <w:sz w:val="21"/>
          <w:szCs w:val="21"/>
        </w:rPr>
      </w:pPr>
      <w:bookmarkStart w:id="17" w:name="_Hlk218619423"/>
      <w:r w:rsidRPr="00F476C7">
        <w:rPr>
          <w:rFonts w:ascii="宋体" w:hAnsi="宋体" w:cs="宋体" w:hint="eastAsia"/>
          <w:sz w:val="21"/>
          <w:szCs w:val="21"/>
        </w:rPr>
        <w:t>销售服务费每日计提。投资者通过直销机构认购、申购的C类基金份额不收取销售服务费。投资者通过直销机构以外的其他销售机构认购、申购</w:t>
      </w:r>
      <w:r w:rsidR="00131F9B" w:rsidRPr="00A7216A">
        <w:rPr>
          <w:rFonts w:ascii="宋体" w:hAnsi="宋体" w:cs="宋体" w:hint="eastAsia"/>
          <w:sz w:val="21"/>
          <w:szCs w:val="21"/>
        </w:rPr>
        <w:t>且持续持有期限超过一年（即365天</w:t>
      </w:r>
      <w:r w:rsidR="00131F9B">
        <w:rPr>
          <w:rFonts w:ascii="宋体" w:hAnsi="宋体" w:cs="宋体" w:hint="eastAsia"/>
          <w:sz w:val="21"/>
          <w:szCs w:val="21"/>
        </w:rPr>
        <w:t>，下同</w:t>
      </w:r>
      <w:r w:rsidR="00131F9B" w:rsidRPr="00A7216A">
        <w:rPr>
          <w:rFonts w:ascii="宋体" w:hAnsi="宋体" w:cs="宋体" w:hint="eastAsia"/>
          <w:sz w:val="21"/>
          <w:szCs w:val="21"/>
        </w:rPr>
        <w:t>）的</w:t>
      </w:r>
      <w:r w:rsidRPr="00F476C7">
        <w:rPr>
          <w:rFonts w:ascii="宋体" w:hAnsi="宋体" w:cs="宋体" w:hint="eastAsia"/>
          <w:sz w:val="21"/>
          <w:szCs w:val="21"/>
        </w:rPr>
        <w:t>C类基金份额，将不再继续收取销售服务费。本基金C类基金份额实际收取的销售服务费将按以下方式确认：</w:t>
      </w:r>
    </w:p>
    <w:p w14:paraId="3B0AB97B" w14:textId="77777777" w:rsidR="00F476C7" w:rsidRPr="00F476C7" w:rsidRDefault="00F476C7" w:rsidP="00F476C7">
      <w:pPr>
        <w:widowControl w:val="0"/>
        <w:spacing w:line="360" w:lineRule="auto"/>
        <w:ind w:firstLine="420"/>
        <w:jc w:val="both"/>
        <w:rPr>
          <w:rFonts w:ascii="宋体" w:hAnsi="宋体" w:cs="宋体"/>
          <w:sz w:val="21"/>
          <w:szCs w:val="21"/>
        </w:rPr>
      </w:pPr>
      <w:r w:rsidRPr="00F476C7">
        <w:rPr>
          <w:rFonts w:ascii="宋体" w:hAnsi="宋体" w:cs="宋体" w:hint="eastAsia"/>
          <w:sz w:val="21"/>
          <w:szCs w:val="21"/>
        </w:rPr>
        <w:t>（1）基金管理人直销机构</w:t>
      </w:r>
    </w:p>
    <w:p w14:paraId="257A85C4" w14:textId="7B498A5D" w:rsidR="00F476C7" w:rsidRPr="00F476C7" w:rsidRDefault="00F476C7" w:rsidP="00F476C7">
      <w:pPr>
        <w:widowControl w:val="0"/>
        <w:spacing w:line="360" w:lineRule="auto"/>
        <w:ind w:firstLine="420"/>
        <w:jc w:val="both"/>
        <w:rPr>
          <w:rFonts w:ascii="宋体" w:hAnsi="宋体" w:cs="宋体"/>
          <w:sz w:val="21"/>
          <w:szCs w:val="21"/>
        </w:rPr>
      </w:pPr>
      <w:r w:rsidRPr="00F476C7">
        <w:rPr>
          <w:rFonts w:ascii="宋体" w:hAnsi="宋体" w:cs="宋体" w:hint="eastAsia"/>
          <w:sz w:val="21"/>
          <w:szCs w:val="21"/>
        </w:rPr>
        <w:t>投资者通过直销机构认购、申购本基金C类基金份额，将按0.</w:t>
      </w:r>
      <w:r w:rsidR="005F21DE">
        <w:rPr>
          <w:rFonts w:ascii="宋体" w:hAnsi="宋体" w:cs="宋体"/>
          <w:sz w:val="21"/>
          <w:szCs w:val="21"/>
        </w:rPr>
        <w:t>2</w:t>
      </w:r>
      <w:r w:rsidRPr="00F476C7">
        <w:rPr>
          <w:rFonts w:ascii="宋体" w:hAnsi="宋体" w:cs="宋体" w:hint="eastAsia"/>
          <w:sz w:val="21"/>
          <w:szCs w:val="21"/>
        </w:rPr>
        <w:t>0%年费率每日计提销售服务费，但并不实际支付给相关机构。在投资者赎回、转出基金份额或基金合同终止的情形发生时，将持有期间计提的销售服务费返还给投资者。其中，对于赎回业务，返还的销售服务费将作为赎回款项一并划转至投资者账户；对于转出业务，返还的销售服务费将作为转出份额对应的款项一并划转至转入的基金；对于基金合同终止情形，返还的销售服务费将与基金</w:t>
      </w:r>
      <w:proofErr w:type="gramStart"/>
      <w:r w:rsidRPr="00F476C7">
        <w:rPr>
          <w:rFonts w:ascii="宋体" w:hAnsi="宋体" w:cs="宋体" w:hint="eastAsia"/>
          <w:sz w:val="21"/>
          <w:szCs w:val="21"/>
        </w:rPr>
        <w:t>清算款</w:t>
      </w:r>
      <w:proofErr w:type="gramEnd"/>
      <w:r w:rsidRPr="00F476C7">
        <w:rPr>
          <w:rFonts w:ascii="宋体" w:hAnsi="宋体" w:cs="宋体" w:hint="eastAsia"/>
          <w:sz w:val="21"/>
          <w:szCs w:val="21"/>
        </w:rPr>
        <w:t>一并划转至投资者账户。</w:t>
      </w:r>
    </w:p>
    <w:p w14:paraId="686A8120" w14:textId="77777777" w:rsidR="00F476C7" w:rsidRPr="00F476C7" w:rsidRDefault="00F476C7" w:rsidP="00F476C7">
      <w:pPr>
        <w:widowControl w:val="0"/>
        <w:spacing w:line="360" w:lineRule="auto"/>
        <w:ind w:firstLine="420"/>
        <w:jc w:val="both"/>
        <w:rPr>
          <w:rFonts w:ascii="宋体" w:hAnsi="宋体" w:cs="宋体"/>
          <w:sz w:val="21"/>
          <w:szCs w:val="21"/>
        </w:rPr>
      </w:pPr>
      <w:r w:rsidRPr="00F476C7">
        <w:rPr>
          <w:rFonts w:ascii="宋体" w:hAnsi="宋体" w:cs="宋体" w:hint="eastAsia"/>
          <w:sz w:val="21"/>
          <w:szCs w:val="21"/>
        </w:rPr>
        <w:t>（2）基金管理人直销机构以外的其他销售机构</w:t>
      </w:r>
    </w:p>
    <w:p w14:paraId="5EB23DAF" w14:textId="7692C622" w:rsidR="00F476C7" w:rsidRDefault="00F476C7" w:rsidP="003476DF">
      <w:pPr>
        <w:widowControl w:val="0"/>
        <w:spacing w:line="360" w:lineRule="auto"/>
        <w:ind w:firstLine="420"/>
        <w:jc w:val="both"/>
        <w:rPr>
          <w:rFonts w:ascii="宋体" w:hAnsi="宋体" w:cs="宋体"/>
          <w:sz w:val="21"/>
          <w:szCs w:val="21"/>
        </w:rPr>
      </w:pPr>
      <w:r w:rsidRPr="00F476C7">
        <w:rPr>
          <w:rFonts w:ascii="宋体" w:hAnsi="宋体" w:cs="宋体" w:hint="eastAsia"/>
          <w:sz w:val="21"/>
          <w:szCs w:val="21"/>
        </w:rPr>
        <w:t>投资者通过直销机构以外的其他销售机构认购、申购本基金C类基金份额，将按0.</w:t>
      </w:r>
      <w:r w:rsidR="005F21DE">
        <w:rPr>
          <w:rFonts w:ascii="宋体" w:hAnsi="宋体" w:cs="宋体"/>
          <w:sz w:val="21"/>
          <w:szCs w:val="21"/>
        </w:rPr>
        <w:t>2</w:t>
      </w:r>
      <w:r w:rsidRPr="00F476C7">
        <w:rPr>
          <w:rFonts w:ascii="宋体" w:hAnsi="宋体" w:cs="宋体" w:hint="eastAsia"/>
          <w:sz w:val="21"/>
          <w:szCs w:val="21"/>
        </w:rPr>
        <w:t>0%年费率每日计提销售服务费。对于投资者持续持有期限小于等于一年的C类基金份额收取的销售服务费，按月支付，由基金托管人自动在月初5</w:t>
      </w:r>
      <w:proofErr w:type="gramStart"/>
      <w:r w:rsidRPr="00F476C7">
        <w:rPr>
          <w:rFonts w:ascii="宋体" w:hAnsi="宋体" w:cs="宋体" w:hint="eastAsia"/>
          <w:sz w:val="21"/>
          <w:szCs w:val="21"/>
        </w:rPr>
        <w:t>个</w:t>
      </w:r>
      <w:proofErr w:type="gramEnd"/>
      <w:r w:rsidRPr="00F476C7">
        <w:rPr>
          <w:rFonts w:ascii="宋体" w:hAnsi="宋体" w:cs="宋体" w:hint="eastAsia"/>
          <w:sz w:val="21"/>
          <w:szCs w:val="21"/>
        </w:rPr>
        <w:t>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对于持续持有期限超过一年的C类基金份额继续计提的销售服务费，并不实际支付给相关机构，将在投资者赎回、转出基金份额或基金合同终止的情形发生时返还给投资者。其中，对于赎回业务，返还的销售服务费将作为赎回款项一并划转至投资者账户；对于转出业务，返还的销售服务费将作为转出份额对应的款项一并划转至转入的基金；对于基金合同终止情形，返还的销售服务费将与基金清算款一并划转至投资者账户。</w:t>
      </w:r>
      <w:bookmarkEnd w:id="17"/>
    </w:p>
    <w:p w14:paraId="7F48686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上述“一、基金费用的种类”中第4－10项费用，根据有关法规及相应协议规定，按费用实际支出金额列入当期费用，由基金托管人从基金财产中支付。</w:t>
      </w:r>
    </w:p>
    <w:p w14:paraId="17D95CE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三、不列入基金费用的项目</w:t>
      </w:r>
    </w:p>
    <w:p w14:paraId="08CDF9F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下列费用不列入基金费用：</w:t>
      </w:r>
    </w:p>
    <w:p w14:paraId="60FA34D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lastRenderedPageBreak/>
        <w:t>1、基金管理人和基金托管人因未履行或未完全履行义务导致的费用支出或基金财产的损失；</w:t>
      </w:r>
    </w:p>
    <w:p w14:paraId="79CB09D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2、基金管理人和基金托管人处理与基金运作无关的事项发生的费用；</w:t>
      </w:r>
    </w:p>
    <w:p w14:paraId="7D44FA6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3、《基金合同》生效前的相关费用；</w:t>
      </w:r>
    </w:p>
    <w:p w14:paraId="5A47534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4、其他根据相关法律法规及中国证监会的有关规定不得列入基金费用的项目。</w:t>
      </w:r>
    </w:p>
    <w:p w14:paraId="7D53A3F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四、实施</w:t>
      </w:r>
      <w:proofErr w:type="gramStart"/>
      <w:r>
        <w:rPr>
          <w:rFonts w:ascii="宋体" w:hAnsi="宋体" w:cs="宋体"/>
          <w:sz w:val="21"/>
          <w:szCs w:val="21"/>
        </w:rPr>
        <w:t>侧袋机制</w:t>
      </w:r>
      <w:proofErr w:type="gramEnd"/>
      <w:r>
        <w:rPr>
          <w:rFonts w:ascii="宋体" w:hAnsi="宋体" w:cs="宋体"/>
          <w:sz w:val="21"/>
          <w:szCs w:val="21"/>
        </w:rPr>
        <w:t>期间的基金费用</w:t>
      </w:r>
    </w:p>
    <w:p w14:paraId="0CC6F3C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本基金实施</w:t>
      </w:r>
      <w:proofErr w:type="gramStart"/>
      <w:r>
        <w:rPr>
          <w:rFonts w:ascii="宋体" w:hAnsi="宋体" w:cs="宋体"/>
          <w:sz w:val="21"/>
          <w:szCs w:val="21"/>
        </w:rPr>
        <w:t>侧袋机制</w:t>
      </w:r>
      <w:proofErr w:type="gramEnd"/>
      <w:r>
        <w:rPr>
          <w:rFonts w:ascii="宋体" w:hAnsi="宋体" w:cs="宋体"/>
          <w:sz w:val="21"/>
          <w:szCs w:val="21"/>
        </w:rPr>
        <w:t>的，</w:t>
      </w:r>
      <w:proofErr w:type="gramStart"/>
      <w:r>
        <w:rPr>
          <w:rFonts w:ascii="宋体" w:hAnsi="宋体" w:cs="宋体"/>
          <w:sz w:val="21"/>
          <w:szCs w:val="21"/>
        </w:rPr>
        <w:t>与侧袋账</w:t>
      </w:r>
      <w:proofErr w:type="gramEnd"/>
      <w:r>
        <w:rPr>
          <w:rFonts w:ascii="宋体" w:hAnsi="宋体" w:cs="宋体"/>
          <w:sz w:val="21"/>
          <w:szCs w:val="21"/>
        </w:rPr>
        <w:t>户有关的费用可以</w:t>
      </w:r>
      <w:proofErr w:type="gramStart"/>
      <w:r>
        <w:rPr>
          <w:rFonts w:ascii="宋体" w:hAnsi="宋体" w:cs="宋体"/>
          <w:sz w:val="21"/>
          <w:szCs w:val="21"/>
        </w:rPr>
        <w:t>从侧袋账</w:t>
      </w:r>
      <w:proofErr w:type="gramEnd"/>
      <w:r>
        <w:rPr>
          <w:rFonts w:ascii="宋体" w:hAnsi="宋体" w:cs="宋体"/>
          <w:sz w:val="21"/>
          <w:szCs w:val="21"/>
        </w:rPr>
        <w:t>户中列支，但应</w:t>
      </w:r>
      <w:proofErr w:type="gramStart"/>
      <w:r>
        <w:rPr>
          <w:rFonts w:ascii="宋体" w:hAnsi="宋体" w:cs="宋体"/>
          <w:sz w:val="21"/>
          <w:szCs w:val="21"/>
        </w:rPr>
        <w:t>待侧</w:t>
      </w:r>
      <w:proofErr w:type="gramEnd"/>
      <w:r>
        <w:rPr>
          <w:rFonts w:ascii="宋体" w:hAnsi="宋体" w:cs="宋体"/>
          <w:sz w:val="21"/>
          <w:szCs w:val="21"/>
        </w:rPr>
        <w:t>袋账户资产变现后方可列支，有关费用可酌情收取或减免，但不得收取管理费，详见招募说明书的规定或相关公告。</w:t>
      </w:r>
    </w:p>
    <w:p w14:paraId="4783159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五、基金税收</w:t>
      </w:r>
    </w:p>
    <w:p w14:paraId="0AE0758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009D246" w14:textId="77777777" w:rsidR="00401986" w:rsidRDefault="00B137D7">
      <w:pPr>
        <w:pStyle w:val="1"/>
        <w:keepLines/>
        <w:pageBreakBefore/>
        <w:widowControl w:val="0"/>
        <w:spacing w:before="210" w:after="0" w:line="360" w:lineRule="auto"/>
        <w:jc w:val="center"/>
        <w:rPr>
          <w:rFonts w:ascii="Times New Roman" w:eastAsia="Times New Roman" w:hAnsi="Times New Roman" w:cs="Times New Roman"/>
        </w:rPr>
      </w:pPr>
      <w:bookmarkStart w:id="18" w:name="_Toc256000015"/>
      <w:r>
        <w:rPr>
          <w:rFonts w:ascii="宋体" w:hAnsi="宋体" w:cs="宋体"/>
          <w:kern w:val="36"/>
          <w:sz w:val="24"/>
          <w:szCs w:val="24"/>
        </w:rPr>
        <w:lastRenderedPageBreak/>
        <w:t>第十六部分 基金的收益与分配</w:t>
      </w:r>
      <w:bookmarkEnd w:id="18"/>
    </w:p>
    <w:p w14:paraId="73D4A889" w14:textId="77777777" w:rsidR="00401986" w:rsidRDefault="00401986">
      <w:pPr>
        <w:widowControl w:val="0"/>
        <w:spacing w:line="360" w:lineRule="auto"/>
        <w:jc w:val="both"/>
        <w:rPr>
          <w:rFonts w:ascii="宋体" w:hAnsi="宋体" w:cs="宋体"/>
          <w:sz w:val="21"/>
          <w:szCs w:val="21"/>
        </w:rPr>
      </w:pPr>
    </w:p>
    <w:p w14:paraId="4052793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一、基金利润的构成</w:t>
      </w:r>
    </w:p>
    <w:p w14:paraId="37003C8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基金利润指基金利息收入、投资收益、公允价值变动收益和其他收入扣除相关费用后的余额，基金已实现收益指基金利润减去公允价值变动收益后的余额。</w:t>
      </w:r>
    </w:p>
    <w:p w14:paraId="1F1E8D7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二、基金可供分配利润</w:t>
      </w:r>
    </w:p>
    <w:p w14:paraId="7226BFB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基金可供分配利润指截至收益分配基准日基金未分配利润与未分配利润中已实现收益的孰低数。</w:t>
      </w:r>
    </w:p>
    <w:p w14:paraId="5395980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三、基金收益分配原则</w:t>
      </w:r>
    </w:p>
    <w:p w14:paraId="2CF57E5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1、在符合有关基金分红条件的前提下，本基金管理人可以根据实际情况进行收益分配，具体分配方案以公告为准，若《基金合同》生效不满3个月可不进行收益分配；</w:t>
      </w:r>
    </w:p>
    <w:p w14:paraId="60FC7B8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2、本基金收益分配方式分两种：现金分红与红利再投资，投资者可选择现金红利或将现金红利自动转为相应类别的基金份额进行再投资</w:t>
      </w:r>
      <w:r>
        <w:rPr>
          <w:rFonts w:ascii="宋体" w:hAnsi="宋体" w:cs="宋体" w:hint="eastAsia"/>
          <w:sz w:val="21"/>
          <w:szCs w:val="21"/>
        </w:rPr>
        <w:t>，红利再投资的基金份额的最短持有期到期日与</w:t>
      </w:r>
      <w:proofErr w:type="gramStart"/>
      <w:r>
        <w:rPr>
          <w:rFonts w:ascii="宋体" w:hAnsi="宋体" w:cs="宋体" w:hint="eastAsia"/>
          <w:sz w:val="21"/>
          <w:szCs w:val="21"/>
        </w:rPr>
        <w:t>原基金</w:t>
      </w:r>
      <w:proofErr w:type="gramEnd"/>
      <w:r>
        <w:rPr>
          <w:rFonts w:ascii="宋体" w:hAnsi="宋体" w:cs="宋体" w:hint="eastAsia"/>
          <w:sz w:val="21"/>
          <w:szCs w:val="21"/>
        </w:rPr>
        <w:t>份额的最短持有期到期日保持一致</w:t>
      </w:r>
      <w:r>
        <w:rPr>
          <w:rFonts w:ascii="宋体" w:hAnsi="宋体" w:cs="宋体"/>
          <w:sz w:val="21"/>
          <w:szCs w:val="21"/>
        </w:rPr>
        <w:t>；若投资者不选择，本基金默认的收益分配方式是现金分红；</w:t>
      </w:r>
    </w:p>
    <w:p w14:paraId="511B3B5D" w14:textId="49DAD8B1"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3、基金收益分配后任一类基金份额净值不能低于面值，即基金收益分配基准日的任一类基金份额净值减去</w:t>
      </w:r>
      <w:r>
        <w:rPr>
          <w:rFonts w:ascii="宋体" w:hAnsi="宋体" w:cs="宋体" w:hint="eastAsia"/>
          <w:sz w:val="21"/>
          <w:szCs w:val="21"/>
        </w:rPr>
        <w:t>每单位</w:t>
      </w:r>
      <w:r>
        <w:rPr>
          <w:rFonts w:ascii="宋体" w:hAnsi="宋体" w:cs="宋体"/>
          <w:sz w:val="21"/>
          <w:szCs w:val="21"/>
        </w:rPr>
        <w:t>该类基金份额收益分配金额后不能低于面值；</w:t>
      </w:r>
    </w:p>
    <w:p w14:paraId="1CC1326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4、A类基金份额和C类基金份额之间由于A类基金份额不收取而C类基金份额收取销售服务费将导致在可供分配利润上有所不同；</w:t>
      </w:r>
    </w:p>
    <w:p w14:paraId="3AB78E8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5、同一类别的每一基金份额享有同等分配权；</w:t>
      </w:r>
    </w:p>
    <w:p w14:paraId="2EE3CD9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6、法律法规或监管机关另有规定的，从其规定。</w:t>
      </w:r>
    </w:p>
    <w:p w14:paraId="745255E5" w14:textId="47264699"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在不违反法律法规且对基金份额持有人利益无实质</w:t>
      </w:r>
      <w:r>
        <w:rPr>
          <w:rFonts w:ascii="宋体" w:hAnsi="宋体" w:cs="宋体" w:hint="eastAsia"/>
          <w:sz w:val="21"/>
          <w:szCs w:val="21"/>
        </w:rPr>
        <w:t>性</w:t>
      </w:r>
      <w:r>
        <w:rPr>
          <w:rFonts w:ascii="宋体" w:hAnsi="宋体" w:cs="宋体"/>
          <w:sz w:val="21"/>
          <w:szCs w:val="21"/>
        </w:rPr>
        <w:t>不利影响的前提下，基金管理人</w:t>
      </w:r>
      <w:r w:rsidR="00BD2BF6">
        <w:rPr>
          <w:rFonts w:ascii="宋体" w:hAnsi="宋体" w:cs="宋体" w:hint="eastAsia"/>
          <w:sz w:val="21"/>
          <w:szCs w:val="21"/>
        </w:rPr>
        <w:t>经与基金托管人协商一致后，</w:t>
      </w:r>
      <w:r>
        <w:rPr>
          <w:rFonts w:ascii="宋体" w:hAnsi="宋体" w:cs="宋体"/>
          <w:sz w:val="21"/>
          <w:szCs w:val="21"/>
        </w:rPr>
        <w:t>可调整基金收益分配原则和支付方式，不需召开基金份额持有人大会。</w:t>
      </w:r>
    </w:p>
    <w:p w14:paraId="15B615B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四、收益分配方案</w:t>
      </w:r>
    </w:p>
    <w:p w14:paraId="056B2FE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基金收益分配方案中应载明截止收益分配基准日的可供分配利润、基金收益分配对象、分配时间、分配数额及比例、分配方式等内容。</w:t>
      </w:r>
    </w:p>
    <w:p w14:paraId="7C19430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五、收益分配方案的确定、公告与实施</w:t>
      </w:r>
    </w:p>
    <w:p w14:paraId="702E21E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本基金收益分配方案由基金管理人拟定，并由基金托管人复核，在2日内在规定媒介公告。</w:t>
      </w:r>
    </w:p>
    <w:p w14:paraId="34D7DFE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六、基金收益分配中发生的费用</w:t>
      </w:r>
    </w:p>
    <w:p w14:paraId="58B58F4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基金收益分配时所发生的银行转账或其他手续费用由投资者自行承担。当投资者的现金红利小于一定金额，不足以支付银行转账或其他手续费用时，基金登记机构可将基金份</w:t>
      </w:r>
      <w:r>
        <w:rPr>
          <w:rFonts w:ascii="宋体" w:hAnsi="宋体" w:cs="宋体"/>
          <w:sz w:val="21"/>
          <w:szCs w:val="21"/>
        </w:rPr>
        <w:lastRenderedPageBreak/>
        <w:t>额持有人的现金红利自动转为相应类别的基金份额。红利再投资的计算方法，依照《业务规则》执行。</w:t>
      </w:r>
    </w:p>
    <w:p w14:paraId="4846D2B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七、实施</w:t>
      </w:r>
      <w:proofErr w:type="gramStart"/>
      <w:r>
        <w:rPr>
          <w:rFonts w:ascii="宋体" w:hAnsi="宋体" w:cs="宋体"/>
          <w:sz w:val="21"/>
          <w:szCs w:val="21"/>
        </w:rPr>
        <w:t>侧袋机制</w:t>
      </w:r>
      <w:proofErr w:type="gramEnd"/>
      <w:r>
        <w:rPr>
          <w:rFonts w:ascii="宋体" w:hAnsi="宋体" w:cs="宋体"/>
          <w:sz w:val="21"/>
          <w:szCs w:val="21"/>
        </w:rPr>
        <w:t>期间的收益分配</w:t>
      </w:r>
    </w:p>
    <w:p w14:paraId="600E7F3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本基金实施</w:t>
      </w:r>
      <w:proofErr w:type="gramStart"/>
      <w:r>
        <w:rPr>
          <w:rFonts w:ascii="宋体" w:hAnsi="宋体" w:cs="宋体"/>
          <w:sz w:val="21"/>
          <w:szCs w:val="21"/>
        </w:rPr>
        <w:t>侧袋机制</w:t>
      </w:r>
      <w:proofErr w:type="gramEnd"/>
      <w:r>
        <w:rPr>
          <w:rFonts w:ascii="宋体" w:hAnsi="宋体" w:cs="宋体"/>
          <w:sz w:val="21"/>
          <w:szCs w:val="21"/>
        </w:rPr>
        <w:t>的，</w:t>
      </w:r>
      <w:proofErr w:type="gramStart"/>
      <w:r>
        <w:rPr>
          <w:rFonts w:ascii="宋体" w:hAnsi="宋体" w:cs="宋体"/>
          <w:sz w:val="21"/>
          <w:szCs w:val="21"/>
        </w:rPr>
        <w:t>侧袋账</w:t>
      </w:r>
      <w:proofErr w:type="gramEnd"/>
      <w:r>
        <w:rPr>
          <w:rFonts w:ascii="宋体" w:hAnsi="宋体" w:cs="宋体"/>
          <w:sz w:val="21"/>
          <w:szCs w:val="21"/>
        </w:rPr>
        <w:t>户不进行收益分配，详见招募说明书的规定。</w:t>
      </w:r>
    </w:p>
    <w:p w14:paraId="273408F3" w14:textId="77777777" w:rsidR="00401986" w:rsidRDefault="00B137D7">
      <w:pPr>
        <w:pStyle w:val="1"/>
        <w:keepLines/>
        <w:pageBreakBefore/>
        <w:widowControl w:val="0"/>
        <w:spacing w:before="210" w:after="0" w:line="360" w:lineRule="auto"/>
        <w:jc w:val="center"/>
        <w:rPr>
          <w:rFonts w:ascii="Times New Roman" w:eastAsia="Times New Roman" w:hAnsi="Times New Roman" w:cs="Times New Roman"/>
        </w:rPr>
      </w:pPr>
      <w:bookmarkStart w:id="19" w:name="_Toc256000016"/>
      <w:r>
        <w:rPr>
          <w:rFonts w:ascii="宋体" w:hAnsi="宋体" w:cs="宋体"/>
          <w:kern w:val="36"/>
          <w:sz w:val="24"/>
          <w:szCs w:val="24"/>
        </w:rPr>
        <w:lastRenderedPageBreak/>
        <w:t>第十七部分 基金的会计与审计</w:t>
      </w:r>
      <w:bookmarkEnd w:id="19"/>
    </w:p>
    <w:p w14:paraId="12481830" w14:textId="77777777" w:rsidR="00401986" w:rsidRDefault="00401986">
      <w:pPr>
        <w:widowControl w:val="0"/>
        <w:spacing w:line="360" w:lineRule="auto"/>
        <w:jc w:val="both"/>
        <w:rPr>
          <w:rFonts w:ascii="宋体" w:hAnsi="宋体" w:cs="宋体"/>
          <w:sz w:val="21"/>
          <w:szCs w:val="21"/>
        </w:rPr>
      </w:pPr>
    </w:p>
    <w:p w14:paraId="72D4AEF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一、基金会计政策</w:t>
      </w:r>
    </w:p>
    <w:p w14:paraId="64494F8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1、基金管理人为本基金的基金会计责任方；</w:t>
      </w:r>
    </w:p>
    <w:p w14:paraId="6B7C325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2、基金的会计年度为公历年度的1月1日至12月31日；基金首次募集的会计年度按如下原则：如果《基金合同》生效少于2个月，可以并入下一个会计年度；</w:t>
      </w:r>
    </w:p>
    <w:p w14:paraId="16A37CE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3、基金核算以人民币为记账本位币，以人民币元为记账单位；</w:t>
      </w:r>
    </w:p>
    <w:p w14:paraId="18FBB9B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4、会计制度执行国家有关会计制度；</w:t>
      </w:r>
    </w:p>
    <w:p w14:paraId="0C101E0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5、本基金独立建账、独立核算；</w:t>
      </w:r>
    </w:p>
    <w:p w14:paraId="615D0B7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6、基金管理人及基金托管人各自保留完整的会计账目、凭证并进行日常的会计核算，按照有关规定编制基金会计报表；</w:t>
      </w:r>
    </w:p>
    <w:p w14:paraId="498DF06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7、基金托管人每月与基金管理人就基金的会计核算、报表编制等进行核对并以书面方式确认。</w:t>
      </w:r>
    </w:p>
    <w:p w14:paraId="654BA7C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二、基金的年度审计</w:t>
      </w:r>
    </w:p>
    <w:p w14:paraId="226F943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1、基金管理人聘请与基金管理人、基金托管人相互独立的符合《中华人民共和国证券法》规定的会计师事务所及其注册会计师对本基金的年度财务报表进行审计。</w:t>
      </w:r>
    </w:p>
    <w:p w14:paraId="2D96F56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2、会计师事务所更换经办注册会计师，应事先征得基金管理人同意。</w:t>
      </w:r>
    </w:p>
    <w:p w14:paraId="135132F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3、基金管理人认为有充足理由更换会计师事务所，须通报基金托管人。更换会计师事务所需在2日内在规定媒介公告。</w:t>
      </w:r>
    </w:p>
    <w:p w14:paraId="2D1C9FDF" w14:textId="77777777" w:rsidR="00401986" w:rsidRDefault="00B137D7">
      <w:pPr>
        <w:pStyle w:val="1"/>
        <w:keepLines/>
        <w:pageBreakBefore/>
        <w:widowControl w:val="0"/>
        <w:spacing w:before="210" w:after="0" w:line="360" w:lineRule="auto"/>
        <w:jc w:val="center"/>
        <w:rPr>
          <w:rFonts w:ascii="Times New Roman" w:eastAsia="Times New Roman" w:hAnsi="Times New Roman" w:cs="Times New Roman"/>
        </w:rPr>
      </w:pPr>
      <w:bookmarkStart w:id="20" w:name="_Toc256000017"/>
      <w:r>
        <w:rPr>
          <w:rFonts w:ascii="宋体" w:hAnsi="宋体" w:cs="宋体"/>
          <w:kern w:val="36"/>
          <w:sz w:val="24"/>
          <w:szCs w:val="24"/>
        </w:rPr>
        <w:lastRenderedPageBreak/>
        <w:t>第十八部分 基金的信息披露</w:t>
      </w:r>
      <w:bookmarkEnd w:id="20"/>
    </w:p>
    <w:p w14:paraId="3E2DF0B3" w14:textId="77777777" w:rsidR="00401986" w:rsidRDefault="00401986">
      <w:pPr>
        <w:widowControl w:val="0"/>
        <w:spacing w:line="360" w:lineRule="auto"/>
        <w:jc w:val="both"/>
        <w:rPr>
          <w:rFonts w:ascii="宋体" w:hAnsi="宋体" w:cs="宋体"/>
          <w:sz w:val="21"/>
          <w:szCs w:val="21"/>
        </w:rPr>
      </w:pPr>
    </w:p>
    <w:p w14:paraId="0377CFD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一、本基金的信息披露应符合《基金法》、《运作办法》、《信息披露办法》、《流动性风险管理规定》、《基金合同》及其他有关规定。</w:t>
      </w:r>
    </w:p>
    <w:p w14:paraId="266CD8D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二、信息披露义务人</w:t>
      </w:r>
    </w:p>
    <w:p w14:paraId="38C6E43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本基金信息披露义务人包括基金管理人、基金托管人、召集基金份额持有人大会的基金份额持有人及其日常机构（如有）等法律法规和中国证监会规定的自然人、法人和非法人组织。</w:t>
      </w:r>
    </w:p>
    <w:p w14:paraId="412D78A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本基金信息披露义务人以保护基金份额持有人利益为根本出发点，按照法律法规和中国证监会的规定披露基金信息，并保证所披露信息的真实性、准确性、完整性、及时性、简明性和易得性。</w:t>
      </w:r>
    </w:p>
    <w:p w14:paraId="087A8FB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信息披露义务人应当在中国证监会规定时间内，将应予披露的基金信息通过符合中国证监会规定条件的全国性报刊（以下简称“规定报刊”）及《信息披露办法》规定的互联网网站（以下简称“规定网站”，包括基金管理人网站、基金托管人网站、中国证监会基金电子披露网站）等媒介披露，并保证基金投资者能够按照《基金合同》约定的时间和方式查阅或者复制公开披露的信息资料。</w:t>
      </w:r>
    </w:p>
    <w:p w14:paraId="60E8FCC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三、本基金信息披露义务人承诺公开披露的基金信息，不得有下列行为：</w:t>
      </w:r>
    </w:p>
    <w:p w14:paraId="65375F0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1、虚假记载、误导性陈述或者重大遗漏；</w:t>
      </w:r>
    </w:p>
    <w:p w14:paraId="1846450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2、对证券投资业绩进行预测；</w:t>
      </w:r>
    </w:p>
    <w:p w14:paraId="5AD1CB3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3、违规承诺收益或者承担损失；</w:t>
      </w:r>
    </w:p>
    <w:p w14:paraId="3D6E025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4、诋毁其他基金管理人、基金托管人或者基金销售机构；</w:t>
      </w:r>
    </w:p>
    <w:p w14:paraId="405D1CD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5、登载任何自然人、法人和非法人组织的祝贺性、恭维性或推荐性文字；</w:t>
      </w:r>
    </w:p>
    <w:p w14:paraId="4F27943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6、中国证监会禁止的其他行为。</w:t>
      </w:r>
    </w:p>
    <w:p w14:paraId="3C6E838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四、本基金公开披露的信息应采用中文文本。如同时采用外文文本的，基金信息披露义务人应保证不同文本的内容一致。不同文本之间发生歧义的，以中文文本为准。</w:t>
      </w:r>
    </w:p>
    <w:p w14:paraId="76B7F78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本基金公开披露的信息采用阿拉伯数字；除特别说明外，货币单位为人民币元。</w:t>
      </w:r>
    </w:p>
    <w:p w14:paraId="0A9FE61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五、公开披露的基金信息</w:t>
      </w:r>
    </w:p>
    <w:p w14:paraId="3349BC9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公开披露的基金信息包括：</w:t>
      </w:r>
    </w:p>
    <w:p w14:paraId="2ED3EED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（一）基金招募说明书、《基金合同》、基金托管协议、基金产品资料概要</w:t>
      </w:r>
    </w:p>
    <w:p w14:paraId="137E00E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1、《基金合同》是界定《基金合同》当事人的各项权利、义务关系，明确基金份额持有人大会召开的规则及具体程序，说明基金产品的特性等涉及基金投资者重大利益的事项的法律文件。</w:t>
      </w:r>
    </w:p>
    <w:p w14:paraId="63F649A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2、基金招募说明书应当最大限度地披露影响基金投资者决策的全部事项，说明基金认</w:t>
      </w:r>
      <w:r>
        <w:rPr>
          <w:rFonts w:ascii="宋体" w:hAnsi="宋体" w:cs="宋体"/>
          <w:sz w:val="21"/>
          <w:szCs w:val="21"/>
        </w:rPr>
        <w:lastRenderedPageBreak/>
        <w:t>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7A7394E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3、基金托管协议是界定基金托管人和基金管理人在基金财产保管及基金运作监督等活动中的权利、义务关系的法律文件。</w:t>
      </w:r>
    </w:p>
    <w:p w14:paraId="3F2465F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267AA7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募集申请经中国证监会注册后，基金管理人应当在基金份额发售的三日前，将基金份额发售公告、基金招募说明书提示性公告、《基金合同》提示性公告登载在规定报刊上，将基金份额发售公告、基金招募说明书、基金产品资料概要、《基金合同》和托管协议登载在规定网站上，并将基金产品资料概要登载在基金销售机构网站或营业网点；基金托管人应当同时将《基金合同》、基金托管协议登载在规定网站上。</w:t>
      </w:r>
    </w:p>
    <w:p w14:paraId="0E04526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（二）基金份额发售公告</w:t>
      </w:r>
    </w:p>
    <w:p w14:paraId="56D92C7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基金管理人应当就基金份额发售的具体事宜编制基金份额发售公告，并在披露招募说明书的当日登载于规定媒介上。</w:t>
      </w:r>
    </w:p>
    <w:p w14:paraId="648C2AF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（三）《基金合同》生效公告</w:t>
      </w:r>
    </w:p>
    <w:p w14:paraId="7059667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基金管理人应当在收到中国证监会确认文件的次日在规定媒介上登载《基金合同》生效公告。</w:t>
      </w:r>
    </w:p>
    <w:p w14:paraId="30BC3B5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（四）基金净值信息</w:t>
      </w:r>
    </w:p>
    <w:p w14:paraId="403E6D1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《基金合同》生效后，在开始办理基金份额申购或者赎回前，基金管理人应当至少每周在规定网站披露一次各类基金份额净值和基金份额累计净值。</w:t>
      </w:r>
    </w:p>
    <w:p w14:paraId="35EB494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在开始办理基金份额申购或者赎回后，基金管理人应当在不晚于每个开放日的次日，通过规定网站、基金销售机构网站或者营业网点披露开放日的各类基金份额净值和基金份额累计净值。</w:t>
      </w:r>
    </w:p>
    <w:p w14:paraId="1E66ADF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基金管理人应当在不晚于半年度和年度最后一日的次日，在规定网站披露半年度和年度最后一日的各类基金份额净值和基金份额累计净值。</w:t>
      </w:r>
    </w:p>
    <w:p w14:paraId="642CA4A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（五）基金份额申购、赎回价格</w:t>
      </w:r>
    </w:p>
    <w:p w14:paraId="1FB5CF9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基金管理人应当在《基金合同》、招募说明书等信息披露文件上载</w:t>
      </w:r>
      <w:proofErr w:type="gramStart"/>
      <w:r>
        <w:rPr>
          <w:rFonts w:ascii="宋体" w:hAnsi="宋体" w:cs="宋体"/>
          <w:sz w:val="21"/>
          <w:szCs w:val="21"/>
        </w:rPr>
        <w:t>明基金</w:t>
      </w:r>
      <w:proofErr w:type="gramEnd"/>
      <w:r>
        <w:rPr>
          <w:rFonts w:ascii="宋体" w:hAnsi="宋体" w:cs="宋体"/>
          <w:sz w:val="21"/>
          <w:szCs w:val="21"/>
        </w:rPr>
        <w:t>份额申购、赎回价格的计算方式及有关申购、赎回费率，并保证投资者能够在基金销售机构网站或营</w:t>
      </w:r>
      <w:r>
        <w:rPr>
          <w:rFonts w:ascii="宋体" w:hAnsi="宋体" w:cs="宋体"/>
          <w:sz w:val="21"/>
          <w:szCs w:val="21"/>
        </w:rPr>
        <w:lastRenderedPageBreak/>
        <w:t>业网点查阅或者复制前述信息资料。</w:t>
      </w:r>
    </w:p>
    <w:p w14:paraId="1CEAD3A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（六）基金定期报告，包括基金年度报告、基金中期报告和基金季度报告</w:t>
      </w:r>
    </w:p>
    <w:p w14:paraId="77C5FBF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基金管理人应当在每年结束之日起三个月内，编制完成基金年度报告，将年度报告登载在规定网站上，并将年度报告提示性公告登载在规定报刊上。基金年度报告中的财务会计报告应当</w:t>
      </w:r>
      <w:proofErr w:type="gramStart"/>
      <w:r>
        <w:rPr>
          <w:rFonts w:ascii="宋体" w:hAnsi="宋体" w:cs="宋体"/>
          <w:sz w:val="21"/>
          <w:szCs w:val="21"/>
        </w:rPr>
        <w:t>经符合</w:t>
      </w:r>
      <w:proofErr w:type="gramEnd"/>
      <w:r>
        <w:rPr>
          <w:rFonts w:ascii="宋体" w:hAnsi="宋体" w:cs="宋体"/>
          <w:sz w:val="21"/>
          <w:szCs w:val="21"/>
        </w:rPr>
        <w:t>《中华人民共和国证券法》规定的会计师事务所审计。</w:t>
      </w:r>
    </w:p>
    <w:p w14:paraId="016108B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基金管理人应当在上半年结束之日起两个月内，编制完成基金中期报告，将中期报告登载在规定网站上，并将中期报告提示性公告登载在规定报刊上。</w:t>
      </w:r>
    </w:p>
    <w:p w14:paraId="0297BB8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基金管理人应当在季度结束之日起15个工作日内，编制完成基金季度报告，将季度报告登载在规定网站上，并将季度报告提示性公告登载在规定报刊上。</w:t>
      </w:r>
    </w:p>
    <w:p w14:paraId="1202179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《基金合同》生效不足2个月的，基金管理人可以不编制当期季度报告、中期报告或者年度报告。</w:t>
      </w:r>
    </w:p>
    <w:p w14:paraId="754FD04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11F561B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基金管理人应当在基金年度报告和中期报告中披露基金组合资产情况及其流动性风险分析等。</w:t>
      </w:r>
    </w:p>
    <w:p w14:paraId="0DB24A6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（七）临时报告</w:t>
      </w:r>
    </w:p>
    <w:p w14:paraId="0BDC14C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本基金发生重大事件，有关信息披露义务人应当在2日内编制临时报告书，并登载在规定报刊和规定网站上。</w:t>
      </w:r>
    </w:p>
    <w:p w14:paraId="1514D55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前款所称重大事件，是指可能对基金份额持有人权益或者基金份额的价格产生重大影响的下列事件：</w:t>
      </w:r>
    </w:p>
    <w:p w14:paraId="5B49C21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1、基金份额持有人大会的召开及决定的事项；</w:t>
      </w:r>
    </w:p>
    <w:p w14:paraId="37A8223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2、《基金合同》终止、基金清算；</w:t>
      </w:r>
    </w:p>
    <w:p w14:paraId="48351F0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3、转换基金运作方式、基金合并；</w:t>
      </w:r>
    </w:p>
    <w:p w14:paraId="38F405D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4、更换基金管理人、基金托管人、基金份额登记机构，基金改聘会计师事务所；</w:t>
      </w:r>
    </w:p>
    <w:p w14:paraId="0491E39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5、基金管理人委托基金服务机构代为办理基金的份额登记、核算、估值等事项，基金托管人委托基金服务机构代为办理基金的核算、估值、复核等事项；</w:t>
      </w:r>
    </w:p>
    <w:p w14:paraId="6BD454A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6、基金管理人、基金托管人的法定名称、住所发生变更；</w:t>
      </w:r>
    </w:p>
    <w:p w14:paraId="4BC01A6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7、基金管理人变更持有百分之五以上股权的股东、基金管理人的实际控制人变更；</w:t>
      </w:r>
    </w:p>
    <w:p w14:paraId="23C1C0F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8、基金募集期延长或提前结束募集；</w:t>
      </w:r>
    </w:p>
    <w:p w14:paraId="5B141AD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9、基金管理人高级管理人员、基金经理和基金托管人专门基金托管部门负责人发生变动；</w:t>
      </w:r>
    </w:p>
    <w:p w14:paraId="2D55BD6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10、基金管理人的董事在最近12个月内变更超过百分之五十，基金管理人、基金托管</w:t>
      </w:r>
      <w:r>
        <w:rPr>
          <w:rFonts w:ascii="宋体" w:hAnsi="宋体" w:cs="宋体"/>
          <w:sz w:val="21"/>
          <w:szCs w:val="21"/>
        </w:rPr>
        <w:lastRenderedPageBreak/>
        <w:t>人专门基金托管部门的主要业务人员在最近12个月内变动超过百分之三十；</w:t>
      </w:r>
    </w:p>
    <w:p w14:paraId="4D4F434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11、涉及基金财产、基金管理业务、基金托管业务的诉讼或者仲裁；</w:t>
      </w:r>
    </w:p>
    <w:p w14:paraId="74D5AD9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12、基金管理人或其高级管理人员、基金经理因基金管理业务相关行为受到重大行政处罚、刑事处罚，基金托管人或其专门基金托管部门负责人因基金托管业务相关行为受到重大行政处罚、刑事处罚；</w:t>
      </w:r>
    </w:p>
    <w:p w14:paraId="4472A5F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7D56FD9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14、基金收益分配事项；</w:t>
      </w:r>
    </w:p>
    <w:p w14:paraId="0D4AFDB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15、管理费、托管费、销售服务费、申购费、赎回费等费用计提标准、计提方式和费率发生变更；</w:t>
      </w:r>
    </w:p>
    <w:p w14:paraId="10F4458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16、任一类基金份额净值估值错误达该类基金份额净值百分之零点五；</w:t>
      </w:r>
    </w:p>
    <w:p w14:paraId="061B082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17、本基金开始办理申购、赎回；</w:t>
      </w:r>
    </w:p>
    <w:p w14:paraId="5615ADE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18、本基金发生巨额赎回并延期办理；</w:t>
      </w:r>
    </w:p>
    <w:p w14:paraId="18BCF43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19、本基金连续发生巨额赎回并暂停接受赎回申请或延缓支付赎回款项；</w:t>
      </w:r>
    </w:p>
    <w:p w14:paraId="23F1F3DE"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20、本基金暂停接受申购、赎回申请或重新接受申购、赎回申请；</w:t>
      </w:r>
    </w:p>
    <w:p w14:paraId="1425583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21、发生涉及基金申购、赎回事项调整或潜在影响投资者赎回等重大事项时；</w:t>
      </w:r>
    </w:p>
    <w:p w14:paraId="77B674F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22、基金管理人采用摆动定价机制进行估值；</w:t>
      </w:r>
    </w:p>
    <w:p w14:paraId="2DB24E5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23、连续30、40、45个工作日出现基金份额持有人数量不满200人或者基金资产净值低于5000万元情形的，对基金合同可能面临终止的不确定性风险进行提示；</w:t>
      </w:r>
    </w:p>
    <w:p w14:paraId="2C756B2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24、调整基金份额类别；</w:t>
      </w:r>
    </w:p>
    <w:p w14:paraId="2F9C8C7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25、基金推出新业务或服务；</w:t>
      </w:r>
    </w:p>
    <w:p w14:paraId="23C4734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26、基金信息披露义务人认为可能对基金份额持有人权益或者基金份额的价格产生重大影响的其他事项或中国证监会规定的其他事项。</w:t>
      </w:r>
    </w:p>
    <w:p w14:paraId="4287A61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（八）澄清公告</w:t>
      </w:r>
    </w:p>
    <w:p w14:paraId="68FC844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在《基金合同》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3A6B2DD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（九）基金份额持有人大会决议</w:t>
      </w:r>
    </w:p>
    <w:p w14:paraId="3CC9BA9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基金份额持有人大会决定的事项，应当依法报中国证监会备案，并予以公告。</w:t>
      </w:r>
    </w:p>
    <w:p w14:paraId="2207080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（十）清算报告</w:t>
      </w:r>
    </w:p>
    <w:p w14:paraId="02CB7C4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基金合同终止的，基金管理人应当依法组织基金财产清算小组对基金财产进行清算并</w:t>
      </w:r>
      <w:proofErr w:type="gramStart"/>
      <w:r>
        <w:rPr>
          <w:rFonts w:ascii="宋体" w:hAnsi="宋体" w:cs="宋体"/>
          <w:sz w:val="21"/>
          <w:szCs w:val="21"/>
        </w:rPr>
        <w:t>作出</w:t>
      </w:r>
      <w:proofErr w:type="gramEnd"/>
      <w:r>
        <w:rPr>
          <w:rFonts w:ascii="宋体" w:hAnsi="宋体" w:cs="宋体"/>
          <w:sz w:val="21"/>
          <w:szCs w:val="21"/>
        </w:rPr>
        <w:t>清算报告。基金财产清算小组应当将清算报告登载在规定网站上，并将清算报告提示性公告登载在规定报刊上。</w:t>
      </w:r>
    </w:p>
    <w:p w14:paraId="536AE50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lastRenderedPageBreak/>
        <w:t>（十一）实施</w:t>
      </w:r>
      <w:proofErr w:type="gramStart"/>
      <w:r>
        <w:rPr>
          <w:rFonts w:ascii="宋体" w:hAnsi="宋体" w:cs="宋体"/>
          <w:sz w:val="21"/>
          <w:szCs w:val="21"/>
        </w:rPr>
        <w:t>侧袋机制</w:t>
      </w:r>
      <w:proofErr w:type="gramEnd"/>
      <w:r>
        <w:rPr>
          <w:rFonts w:ascii="宋体" w:hAnsi="宋体" w:cs="宋体"/>
          <w:sz w:val="21"/>
          <w:szCs w:val="21"/>
        </w:rPr>
        <w:t>期间的信息披露</w:t>
      </w:r>
    </w:p>
    <w:p w14:paraId="46E099A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本基金实施</w:t>
      </w:r>
      <w:proofErr w:type="gramStart"/>
      <w:r>
        <w:rPr>
          <w:rFonts w:ascii="宋体" w:hAnsi="宋体" w:cs="宋体"/>
          <w:sz w:val="21"/>
          <w:szCs w:val="21"/>
        </w:rPr>
        <w:t>侧袋机制</w:t>
      </w:r>
      <w:proofErr w:type="gramEnd"/>
      <w:r>
        <w:rPr>
          <w:rFonts w:ascii="宋体" w:hAnsi="宋体" w:cs="宋体"/>
          <w:sz w:val="21"/>
          <w:szCs w:val="21"/>
        </w:rPr>
        <w:t>的，相关信息披露义务人应当根据法律法规、基金合同和招募说明书的规定进行信息披露，详见招募说明书的规定。</w:t>
      </w:r>
    </w:p>
    <w:p w14:paraId="31738C4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（十二）中国证监会规定的其他信息</w:t>
      </w:r>
    </w:p>
    <w:p w14:paraId="38D9A69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若本基金投资国债期货，基金管理人应在季度报告、中期报告、年度报告等定期报告和更新的招募说明书等文件中披露国债期货交易情况，包括</w:t>
      </w:r>
      <w:r>
        <w:rPr>
          <w:rFonts w:ascii="宋体" w:hAnsi="宋体" w:cs="宋体" w:hint="eastAsia"/>
          <w:sz w:val="21"/>
          <w:szCs w:val="21"/>
        </w:rPr>
        <w:t>交易</w:t>
      </w:r>
      <w:r>
        <w:rPr>
          <w:rFonts w:ascii="宋体" w:hAnsi="宋体" w:cs="宋体"/>
          <w:sz w:val="21"/>
          <w:szCs w:val="21"/>
        </w:rPr>
        <w:t>政策、持仓情况、损益情况、风险指标等，并充分揭示国债期货交易对基金总体风险的影响以及是否符合既定的</w:t>
      </w:r>
      <w:r>
        <w:rPr>
          <w:rFonts w:ascii="宋体" w:hAnsi="宋体" w:cs="宋体" w:hint="eastAsia"/>
          <w:sz w:val="21"/>
          <w:szCs w:val="21"/>
        </w:rPr>
        <w:t>交易</w:t>
      </w:r>
      <w:r>
        <w:rPr>
          <w:rFonts w:ascii="宋体" w:hAnsi="宋体" w:cs="宋体"/>
          <w:sz w:val="21"/>
          <w:szCs w:val="21"/>
        </w:rPr>
        <w:t>政策和</w:t>
      </w:r>
      <w:r>
        <w:rPr>
          <w:rFonts w:ascii="宋体" w:hAnsi="宋体" w:cs="宋体" w:hint="eastAsia"/>
          <w:sz w:val="21"/>
          <w:szCs w:val="21"/>
        </w:rPr>
        <w:t>交易</w:t>
      </w:r>
      <w:r>
        <w:rPr>
          <w:rFonts w:ascii="宋体" w:hAnsi="宋体" w:cs="宋体"/>
          <w:sz w:val="21"/>
          <w:szCs w:val="21"/>
        </w:rPr>
        <w:t>目标。</w:t>
      </w:r>
    </w:p>
    <w:p w14:paraId="10D888B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若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5E0154C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六、信息披露事务管理</w:t>
      </w:r>
    </w:p>
    <w:p w14:paraId="741E4C0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基金管理人、基金托管人应当建立健全信息披露管理制度，指定专门部门及高级管理人员负责管理信息披露事务。</w:t>
      </w:r>
    </w:p>
    <w:p w14:paraId="4956A9E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基金信息披露义务人公开披露基金信息，应当符合中国证监会相关基金信息披露内容与格式准则等法规的规定。</w:t>
      </w:r>
    </w:p>
    <w:p w14:paraId="1CC1510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3F4F076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55DD118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基金管理人、基金托管人除依法在规定媒介上披露信息外，还可以根据需要在其他公共媒介披露信息，但是其他公共媒介不得早于规定媒介披露信息，并且在不同媒介上披露同一信息的内容应当一致。</w:t>
      </w:r>
    </w:p>
    <w:p w14:paraId="1CF5561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基金管理人、基金托管人除按法律法规要求披露信息外，也可着眼于为投资者决策提供有用信息的角度，在保证公平对待投资者、</w:t>
      </w:r>
      <w:proofErr w:type="gramStart"/>
      <w:r>
        <w:rPr>
          <w:rFonts w:ascii="宋体" w:hAnsi="宋体" w:cs="宋体"/>
          <w:sz w:val="21"/>
          <w:szCs w:val="21"/>
        </w:rPr>
        <w:t>不</w:t>
      </w:r>
      <w:proofErr w:type="gramEnd"/>
      <w:r>
        <w:rPr>
          <w:rFonts w:ascii="宋体" w:hAnsi="宋体" w:cs="宋体"/>
          <w:sz w:val="21"/>
          <w:szCs w:val="21"/>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0AF443C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为基金信息披露义务人公开披露的基金信息出具审计报告、法律意见书的专业机构，应当制作工作底稿，并将相关档案至少保存到《基金合同》终止后10年，法律法规或监管</w:t>
      </w:r>
      <w:r>
        <w:rPr>
          <w:rFonts w:ascii="宋体" w:hAnsi="宋体" w:cs="宋体"/>
          <w:sz w:val="21"/>
          <w:szCs w:val="21"/>
        </w:rPr>
        <w:lastRenderedPageBreak/>
        <w:t>规则另有规定的从其规定。</w:t>
      </w:r>
    </w:p>
    <w:p w14:paraId="57D86B6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七、信息披露文件的存放与查阅</w:t>
      </w:r>
    </w:p>
    <w:p w14:paraId="249D26E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依法必须披露的信息发布后，基金管理人、基金托管人应当按照相关法律法规规定将信息置备于公司住所，以供社会公众查阅、复制。</w:t>
      </w:r>
    </w:p>
    <w:p w14:paraId="3BEA7FFA" w14:textId="77777777" w:rsidR="00401986" w:rsidRDefault="00B137D7">
      <w:pPr>
        <w:pStyle w:val="1"/>
        <w:keepLines/>
        <w:pageBreakBefore/>
        <w:widowControl w:val="0"/>
        <w:spacing w:before="210" w:after="0" w:line="360" w:lineRule="auto"/>
        <w:jc w:val="center"/>
        <w:rPr>
          <w:rFonts w:ascii="Times New Roman" w:eastAsia="Times New Roman" w:hAnsi="Times New Roman" w:cs="Times New Roman"/>
        </w:rPr>
      </w:pPr>
      <w:bookmarkStart w:id="21" w:name="_Toc256000018"/>
      <w:r>
        <w:rPr>
          <w:rFonts w:ascii="宋体" w:hAnsi="宋体" w:cs="宋体"/>
          <w:kern w:val="36"/>
          <w:sz w:val="24"/>
          <w:szCs w:val="24"/>
        </w:rPr>
        <w:lastRenderedPageBreak/>
        <w:t>第十九部分 基金合同的变更、终止与基金财产的清算</w:t>
      </w:r>
      <w:bookmarkEnd w:id="21"/>
    </w:p>
    <w:p w14:paraId="2E3C70AA" w14:textId="77777777" w:rsidR="00401986" w:rsidRDefault="00401986">
      <w:pPr>
        <w:widowControl w:val="0"/>
        <w:spacing w:line="360" w:lineRule="auto"/>
        <w:jc w:val="both"/>
        <w:rPr>
          <w:rFonts w:ascii="宋体" w:hAnsi="宋体" w:cs="宋体"/>
          <w:sz w:val="21"/>
          <w:szCs w:val="21"/>
        </w:rPr>
      </w:pPr>
    </w:p>
    <w:p w14:paraId="5FBAF13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一、《基金合同》的变更</w:t>
      </w:r>
    </w:p>
    <w:p w14:paraId="21C595F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1、变更基金合同涉及法律法规规定或本基金合同约定应经基金份额持有人大会决议通过的事项的，应召</w:t>
      </w:r>
      <w:proofErr w:type="gramStart"/>
      <w:r>
        <w:rPr>
          <w:rFonts w:ascii="宋体" w:hAnsi="宋体" w:cs="宋体"/>
          <w:sz w:val="21"/>
          <w:szCs w:val="21"/>
        </w:rPr>
        <w:t>开基金</w:t>
      </w:r>
      <w:proofErr w:type="gramEnd"/>
      <w:r>
        <w:rPr>
          <w:rFonts w:ascii="宋体" w:hAnsi="宋体" w:cs="宋体"/>
          <w:sz w:val="21"/>
          <w:szCs w:val="21"/>
        </w:rPr>
        <w:t>份额持有人大会决议通过。对于法律法规规定和基金合同约定可不经基金份额持有人大会决议通过的事项，由基金管理人和基金托管人同意后变更并公告。</w:t>
      </w:r>
    </w:p>
    <w:p w14:paraId="3415FDC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2、关于《基金合同》变更的基金份额持有人大会决议自生效后方可执行，</w:t>
      </w:r>
      <w:proofErr w:type="gramStart"/>
      <w:r>
        <w:rPr>
          <w:rFonts w:ascii="宋体" w:hAnsi="宋体" w:cs="宋体"/>
          <w:sz w:val="21"/>
          <w:szCs w:val="21"/>
        </w:rPr>
        <w:t>自决议</w:t>
      </w:r>
      <w:proofErr w:type="gramEnd"/>
      <w:r>
        <w:rPr>
          <w:rFonts w:ascii="宋体" w:hAnsi="宋体" w:cs="宋体"/>
          <w:sz w:val="21"/>
          <w:szCs w:val="21"/>
        </w:rPr>
        <w:t>生效后两日内在规定媒介公告。</w:t>
      </w:r>
    </w:p>
    <w:p w14:paraId="4AB613E9"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二、《基金合同》的终止事由</w:t>
      </w:r>
    </w:p>
    <w:p w14:paraId="4626B03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有下列情形之一的，经履行相关程序后，《基金合同》应当终止：</w:t>
      </w:r>
    </w:p>
    <w:p w14:paraId="55429D92"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1、基金份额持有人大会决定终止的；</w:t>
      </w:r>
    </w:p>
    <w:p w14:paraId="77A3CC5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2、基金管理人、基金托管人职责终止，在6个月内没有新基金管理人、新基金托管人承接的；</w:t>
      </w:r>
    </w:p>
    <w:p w14:paraId="61E331C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w:t>
      </w:r>
      <w:r>
        <w:rPr>
          <w:rFonts w:ascii="宋体" w:hAnsi="宋体" w:cs="宋体" w:hint="eastAsia"/>
          <w:sz w:val="21"/>
          <w:szCs w:val="21"/>
        </w:rPr>
        <w:t>连续50个工作日出现基金份额持有人数量不满200人或者基金资产净值低于5000万元情形的；</w:t>
      </w:r>
    </w:p>
    <w:p w14:paraId="63FA334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hint="eastAsia"/>
          <w:sz w:val="21"/>
          <w:szCs w:val="21"/>
        </w:rPr>
        <w:t>4、</w:t>
      </w:r>
      <w:r>
        <w:rPr>
          <w:rFonts w:ascii="宋体" w:hAnsi="宋体" w:cs="宋体"/>
          <w:sz w:val="21"/>
          <w:szCs w:val="21"/>
        </w:rPr>
        <w:t>《基金合同》约定的其他情形；</w:t>
      </w:r>
    </w:p>
    <w:p w14:paraId="108D1DC8" w14:textId="6BB7D690"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5、相关法律法规和中国证监会规定的其他情况。</w:t>
      </w:r>
    </w:p>
    <w:p w14:paraId="10BC3AF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三、基金财产的清算</w:t>
      </w:r>
    </w:p>
    <w:p w14:paraId="202F60F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1、基金财产清算小组：自出现《基金合同》终止事由之日起30个工作日内成立基金财产清算小组，基金管理人组织基金财产清算小组并在中国证监会的监督下进行基金清算。</w:t>
      </w:r>
    </w:p>
    <w:p w14:paraId="54A6A20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2、基金财产清算小组组成：基金财产清算小组成员由基金管理人、基金托管人、注册会计师、律师以及中国证监会指定的人员组成。基金财产清算小组可以聘用必要的工作人员。</w:t>
      </w:r>
    </w:p>
    <w:p w14:paraId="17A3451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3、基金财产清算小组职责：基金财产清算小组负责基金财产的保管、清理、估价、变现和分配。基金财产清算小组可以依法进行必要的民事活动。</w:t>
      </w:r>
    </w:p>
    <w:p w14:paraId="6D9DFC3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4、基金财产清算程序：</w:t>
      </w:r>
    </w:p>
    <w:p w14:paraId="60E2802F"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（1）《基金合同》终止情形出现</w:t>
      </w:r>
      <w:proofErr w:type="gramStart"/>
      <w:r>
        <w:rPr>
          <w:rFonts w:ascii="宋体" w:hAnsi="宋体" w:cs="宋体"/>
          <w:sz w:val="21"/>
          <w:szCs w:val="21"/>
        </w:rPr>
        <w:t>且基金</w:t>
      </w:r>
      <w:proofErr w:type="gramEnd"/>
      <w:r>
        <w:rPr>
          <w:rFonts w:ascii="宋体" w:hAnsi="宋体" w:cs="宋体"/>
          <w:sz w:val="21"/>
          <w:szCs w:val="21"/>
        </w:rPr>
        <w:t>财产清算小组成立后，由基金财产清算小组统一接管基金；</w:t>
      </w:r>
    </w:p>
    <w:p w14:paraId="6C5C649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（2）对基金财产和债权债务进行清理和确认；</w:t>
      </w:r>
    </w:p>
    <w:p w14:paraId="2F8CB733"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（3）对基金财产进行估值和变现；</w:t>
      </w:r>
    </w:p>
    <w:p w14:paraId="445CE330"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（4）制作清算报告；</w:t>
      </w:r>
    </w:p>
    <w:p w14:paraId="3A84831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（5）聘请会计师事务所对清算报告进行外部审计，聘请律师事务所对清算报告出具法律意见书；</w:t>
      </w:r>
    </w:p>
    <w:p w14:paraId="08A64E0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lastRenderedPageBreak/>
        <w:t>（6）将清算报告报中国证监会备案并公告；</w:t>
      </w:r>
    </w:p>
    <w:p w14:paraId="6F0CCE6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（7）对基金剩余财产进行分配。</w:t>
      </w:r>
    </w:p>
    <w:p w14:paraId="5957B137"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5、基金财产清算的期限为6个月，但因本基金所持证券的流动性受到限制而不能及时变现的，清算期限相应顺延。</w:t>
      </w:r>
    </w:p>
    <w:p w14:paraId="14367CC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四、清算费用</w:t>
      </w:r>
    </w:p>
    <w:p w14:paraId="095E749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清算费用是指基金财产清算小组在进行基金财产清算过程中发生的所有合理费用，清算费用由基金财产清算小组优先从基金剩余财产中支付。</w:t>
      </w:r>
    </w:p>
    <w:p w14:paraId="07AB1CC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五、基金财产清算剩余资产的分配</w:t>
      </w:r>
    </w:p>
    <w:p w14:paraId="4A7B8496" w14:textId="5C184028"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依据基金财产清算的分配方案，将基金财产清算后的全部剩余资产扣除基金财产清算费用、交纳所欠税款并清偿基金债务后，按基金份额持有人持有的</w:t>
      </w:r>
      <w:r>
        <w:rPr>
          <w:rFonts w:ascii="宋体" w:hAnsi="宋体" w:cs="宋体" w:hint="eastAsia"/>
          <w:sz w:val="21"/>
          <w:szCs w:val="21"/>
        </w:rPr>
        <w:t>各类</w:t>
      </w:r>
      <w:r>
        <w:rPr>
          <w:rFonts w:ascii="宋体" w:hAnsi="宋体" w:cs="宋体"/>
          <w:sz w:val="21"/>
          <w:szCs w:val="21"/>
        </w:rPr>
        <w:t>基金份额比例进行分配。</w:t>
      </w:r>
    </w:p>
    <w:p w14:paraId="7F9A5238"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六、基金财产清算的公告</w:t>
      </w:r>
    </w:p>
    <w:p w14:paraId="5E51257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清算过程中的有关重大事项须及时公告；基金财产清算报告</w:t>
      </w:r>
      <w:proofErr w:type="gramStart"/>
      <w:r>
        <w:rPr>
          <w:rFonts w:ascii="宋体" w:hAnsi="宋体" w:cs="宋体"/>
          <w:sz w:val="21"/>
          <w:szCs w:val="21"/>
        </w:rPr>
        <w:t>经符合</w:t>
      </w:r>
      <w:proofErr w:type="gramEnd"/>
      <w:r>
        <w:rPr>
          <w:rFonts w:ascii="宋体" w:hAnsi="宋体" w:cs="宋体"/>
          <w:sz w:val="21"/>
          <w:szCs w:val="21"/>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6A17B25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七、基金财产清算账册及文件的保存</w:t>
      </w:r>
    </w:p>
    <w:p w14:paraId="2A2127C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基金财产清算账册及有关文件由基金托管人保存，保存期限</w:t>
      </w:r>
      <w:r>
        <w:rPr>
          <w:rFonts w:ascii="宋体" w:hAnsi="宋体" w:cs="宋体" w:hint="eastAsia"/>
          <w:sz w:val="21"/>
          <w:szCs w:val="21"/>
        </w:rPr>
        <w:t>不少于法律法规的规定</w:t>
      </w:r>
      <w:r>
        <w:rPr>
          <w:rFonts w:ascii="宋体" w:hAnsi="宋体" w:cs="宋体"/>
          <w:sz w:val="21"/>
          <w:szCs w:val="21"/>
        </w:rPr>
        <w:t>。</w:t>
      </w:r>
    </w:p>
    <w:p w14:paraId="54FF6F95" w14:textId="77777777" w:rsidR="00401986" w:rsidRDefault="00B137D7">
      <w:pPr>
        <w:pStyle w:val="1"/>
        <w:keepLines/>
        <w:pageBreakBefore/>
        <w:widowControl w:val="0"/>
        <w:spacing w:before="210" w:after="0" w:line="360" w:lineRule="auto"/>
        <w:jc w:val="center"/>
        <w:rPr>
          <w:rFonts w:ascii="Times New Roman" w:eastAsia="Times New Roman" w:hAnsi="Times New Roman" w:cs="Times New Roman"/>
        </w:rPr>
      </w:pPr>
      <w:bookmarkStart w:id="22" w:name="_Toc256000019"/>
      <w:r>
        <w:rPr>
          <w:rFonts w:ascii="宋体" w:hAnsi="宋体" w:cs="宋体"/>
          <w:kern w:val="36"/>
          <w:sz w:val="24"/>
          <w:szCs w:val="24"/>
        </w:rPr>
        <w:lastRenderedPageBreak/>
        <w:t>第二十部分 违约责任</w:t>
      </w:r>
      <w:bookmarkEnd w:id="22"/>
    </w:p>
    <w:p w14:paraId="666877C0" w14:textId="77777777" w:rsidR="00401986" w:rsidRDefault="00401986">
      <w:pPr>
        <w:widowControl w:val="0"/>
        <w:spacing w:line="360" w:lineRule="auto"/>
        <w:jc w:val="both"/>
        <w:rPr>
          <w:rFonts w:ascii="宋体" w:hAnsi="宋体" w:cs="宋体"/>
          <w:sz w:val="21"/>
          <w:szCs w:val="21"/>
        </w:rPr>
      </w:pPr>
    </w:p>
    <w:p w14:paraId="50C6EBA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如发生下列情况，当事人免责：</w:t>
      </w:r>
    </w:p>
    <w:p w14:paraId="7A4C070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1、不可抗力；</w:t>
      </w:r>
    </w:p>
    <w:p w14:paraId="51B6F781"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2、基金管理人和/或基金托管人按照当时有效的法律法规或中国证监会的规定作为或不作为而造成的损失等；</w:t>
      </w:r>
    </w:p>
    <w:p w14:paraId="7341E6DA" w14:textId="7810F72E"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w:t>
      </w:r>
      <w:r w:rsidR="00BD2BF6">
        <w:rPr>
          <w:rFonts w:ascii="宋体" w:hAnsi="宋体" w:cs="宋体" w:hint="eastAsia"/>
          <w:sz w:val="21"/>
          <w:szCs w:val="21"/>
        </w:rPr>
        <w:t>在没有过错的情况下，</w:t>
      </w:r>
      <w:r>
        <w:rPr>
          <w:rFonts w:ascii="宋体" w:hAnsi="宋体" w:cs="宋体"/>
          <w:sz w:val="21"/>
          <w:szCs w:val="21"/>
        </w:rPr>
        <w:t>基金管理人由于按照基金合同规定的投资原则行使或不行使投资权造成的损失等。</w:t>
      </w:r>
    </w:p>
    <w:p w14:paraId="424234F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00F7375C"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2713846A" w14:textId="77777777" w:rsidR="00401986" w:rsidRDefault="00B137D7">
      <w:pPr>
        <w:pStyle w:val="1"/>
        <w:keepLines/>
        <w:pageBreakBefore/>
        <w:widowControl w:val="0"/>
        <w:spacing w:before="0" w:after="0" w:line="360" w:lineRule="auto"/>
        <w:jc w:val="center"/>
        <w:rPr>
          <w:rFonts w:ascii="Times New Roman" w:eastAsia="Times New Roman" w:hAnsi="Times New Roman" w:cs="Times New Roman"/>
        </w:rPr>
      </w:pPr>
      <w:bookmarkStart w:id="23" w:name="_Toc256000020"/>
      <w:r>
        <w:rPr>
          <w:rFonts w:ascii="宋体" w:hAnsi="宋体" w:cs="宋体"/>
          <w:kern w:val="36"/>
          <w:sz w:val="24"/>
          <w:szCs w:val="24"/>
        </w:rPr>
        <w:lastRenderedPageBreak/>
        <w:t>第二十一部分 争议的处理和适用的法律</w:t>
      </w:r>
      <w:bookmarkEnd w:id="23"/>
    </w:p>
    <w:p w14:paraId="32CB8EA2" w14:textId="77777777" w:rsidR="00401986" w:rsidRDefault="00401986">
      <w:pPr>
        <w:widowControl w:val="0"/>
        <w:spacing w:line="360" w:lineRule="auto"/>
        <w:jc w:val="both"/>
        <w:rPr>
          <w:rFonts w:ascii="宋体" w:hAnsi="宋体" w:cs="宋体"/>
          <w:sz w:val="21"/>
          <w:szCs w:val="21"/>
        </w:rPr>
      </w:pPr>
    </w:p>
    <w:p w14:paraId="462B9DB4" w14:textId="77777777" w:rsidR="00401986" w:rsidRDefault="00B137D7">
      <w:pPr>
        <w:widowControl w:val="0"/>
        <w:spacing w:line="360" w:lineRule="auto"/>
        <w:ind w:firstLine="420"/>
        <w:jc w:val="both"/>
        <w:rPr>
          <w:rFonts w:ascii="宋体" w:hAnsi="宋体" w:cs="宋体"/>
          <w:b/>
          <w:bCs/>
          <w:sz w:val="21"/>
          <w:szCs w:val="21"/>
        </w:rPr>
      </w:pPr>
      <w:r>
        <w:rPr>
          <w:rFonts w:ascii="宋体" w:hAnsi="宋体" w:cs="宋体" w:hint="eastAsia"/>
          <w:b/>
          <w:bCs/>
          <w:sz w:val="21"/>
          <w:szCs w:val="21"/>
        </w:rPr>
        <w:t>各方当事人同意，因《基金合同》而产生的或与《基金合同》有关的一切争议，如经友好协商未能解决的，应将争议提交中国国际经济贸易仲裁委员会，按照中国国际经济贸易仲裁委员会届时有效的仲裁规则进行仲裁。仲裁地点为北京市。仲裁裁决是终局的，对各方当事人均有约束力。除非仲裁裁决另有裁定，仲裁费用由败诉方承担。</w:t>
      </w:r>
    </w:p>
    <w:p w14:paraId="124DD11B" w14:textId="77777777" w:rsidR="00401986" w:rsidRDefault="00B137D7">
      <w:pPr>
        <w:widowControl w:val="0"/>
        <w:spacing w:line="360" w:lineRule="auto"/>
        <w:ind w:firstLine="420"/>
        <w:jc w:val="both"/>
        <w:rPr>
          <w:rFonts w:ascii="宋体" w:hAnsi="宋体" w:cs="宋体"/>
          <w:b/>
          <w:bCs/>
          <w:sz w:val="21"/>
          <w:szCs w:val="21"/>
        </w:rPr>
      </w:pPr>
      <w:r>
        <w:rPr>
          <w:rFonts w:ascii="宋体" w:hAnsi="宋体" w:cs="宋体" w:hint="eastAsia"/>
          <w:b/>
          <w:bCs/>
          <w:sz w:val="21"/>
          <w:szCs w:val="21"/>
        </w:rPr>
        <w:t>争议处理期间，基金合同当事人应恪守各自的职责，继续忠实、勤勉、尽责地履行基金合同规定的义务，维护基金份额持有人的合法权益。</w:t>
      </w:r>
    </w:p>
    <w:p w14:paraId="4E5BB859" w14:textId="77777777" w:rsidR="00401986" w:rsidRDefault="00B137D7">
      <w:pPr>
        <w:widowControl w:val="0"/>
        <w:spacing w:line="360" w:lineRule="auto"/>
        <w:ind w:firstLine="420"/>
        <w:jc w:val="both"/>
        <w:rPr>
          <w:rFonts w:ascii="宋体" w:hAnsi="宋体" w:cs="宋体"/>
          <w:b/>
          <w:bCs/>
          <w:sz w:val="21"/>
          <w:szCs w:val="21"/>
        </w:rPr>
      </w:pPr>
      <w:r>
        <w:rPr>
          <w:rFonts w:ascii="宋体" w:hAnsi="宋体" w:cs="宋体" w:hint="eastAsia"/>
          <w:b/>
          <w:bCs/>
          <w:sz w:val="21"/>
          <w:szCs w:val="21"/>
        </w:rPr>
        <w:t>《基金合同》受中国法律（为本基金合同之目的，不包括香港特别行政区、澳门特别行政区和台湾地区法律）管辖。</w:t>
      </w:r>
    </w:p>
    <w:p w14:paraId="2FBC095F" w14:textId="77777777" w:rsidR="00401986" w:rsidRDefault="00B137D7">
      <w:pPr>
        <w:pStyle w:val="1"/>
        <w:keepLines/>
        <w:pageBreakBefore/>
        <w:widowControl w:val="0"/>
        <w:spacing w:before="210" w:after="0" w:line="360" w:lineRule="auto"/>
        <w:jc w:val="center"/>
        <w:rPr>
          <w:rFonts w:ascii="Times New Roman" w:eastAsia="Times New Roman" w:hAnsi="Times New Roman" w:cs="Times New Roman"/>
        </w:rPr>
      </w:pPr>
      <w:bookmarkStart w:id="24" w:name="_Toc256000021"/>
      <w:r>
        <w:rPr>
          <w:rFonts w:ascii="宋体" w:hAnsi="宋体" w:cs="宋体"/>
          <w:kern w:val="36"/>
          <w:sz w:val="24"/>
          <w:szCs w:val="24"/>
        </w:rPr>
        <w:lastRenderedPageBreak/>
        <w:t>第二十二部分 基金合同的效力</w:t>
      </w:r>
      <w:bookmarkEnd w:id="24"/>
    </w:p>
    <w:p w14:paraId="5BC04F96" w14:textId="77777777" w:rsidR="00401986" w:rsidRDefault="00401986">
      <w:pPr>
        <w:widowControl w:val="0"/>
        <w:spacing w:line="360" w:lineRule="auto"/>
        <w:jc w:val="both"/>
        <w:rPr>
          <w:rFonts w:ascii="宋体" w:hAnsi="宋体" w:cs="宋体"/>
          <w:sz w:val="21"/>
          <w:szCs w:val="21"/>
        </w:rPr>
      </w:pPr>
    </w:p>
    <w:p w14:paraId="7BBA11AB"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《基金合同》是约定基金合同当事人之间权利义务关系的法律文件。</w:t>
      </w:r>
    </w:p>
    <w:p w14:paraId="2C44C7B5"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1、《基金合同》经基金管理人、基金托管人双方盖章以及双方法定代表人或授权代表签字/签章并在募集结束后经基金管理人向中国证监会办理基金备案手续，并经中国证监会书面确认后生效。</w:t>
      </w:r>
    </w:p>
    <w:p w14:paraId="65AE2486"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2、《基金合同》的有效期自其生效之日起至基金财产清算结果报中国证监会备案并公告之日止。</w:t>
      </w:r>
    </w:p>
    <w:p w14:paraId="64BC043D"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3、《基金合同》自生效之日起对包括基金管理人、基金托管人和基金份额持有人在内的《基金合同》各方当事人具有同等的法律约束力。</w:t>
      </w:r>
    </w:p>
    <w:p w14:paraId="1BFB9704"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4、《基金合同》正本一式</w:t>
      </w:r>
      <w:r>
        <w:rPr>
          <w:rFonts w:ascii="宋体" w:hAnsi="宋体" w:cs="宋体" w:hint="eastAsia"/>
          <w:sz w:val="21"/>
          <w:szCs w:val="21"/>
        </w:rPr>
        <w:t>三</w:t>
      </w:r>
      <w:r>
        <w:rPr>
          <w:rFonts w:ascii="宋体" w:hAnsi="宋体" w:cs="宋体"/>
          <w:sz w:val="21"/>
          <w:szCs w:val="21"/>
        </w:rPr>
        <w:t>份，除上报有关监管机构</w:t>
      </w:r>
      <w:r>
        <w:rPr>
          <w:rFonts w:ascii="宋体" w:hAnsi="宋体" w:cs="宋体" w:hint="eastAsia"/>
          <w:sz w:val="21"/>
          <w:szCs w:val="21"/>
        </w:rPr>
        <w:t>一</w:t>
      </w:r>
      <w:r>
        <w:rPr>
          <w:rFonts w:ascii="宋体" w:hAnsi="宋体" w:cs="宋体"/>
          <w:sz w:val="21"/>
          <w:szCs w:val="21"/>
        </w:rPr>
        <w:t>份外，基金管理人、基金托管人各持有</w:t>
      </w:r>
      <w:r>
        <w:rPr>
          <w:rFonts w:ascii="宋体" w:hAnsi="宋体" w:cs="宋体" w:hint="eastAsia"/>
          <w:sz w:val="21"/>
          <w:szCs w:val="21"/>
        </w:rPr>
        <w:t>一</w:t>
      </w:r>
      <w:r>
        <w:rPr>
          <w:rFonts w:ascii="宋体" w:hAnsi="宋体" w:cs="宋体"/>
          <w:sz w:val="21"/>
          <w:szCs w:val="21"/>
        </w:rPr>
        <w:t>份，每份具有同等的法律效力。</w:t>
      </w:r>
    </w:p>
    <w:p w14:paraId="1DDD3BCA" w14:textId="77777777" w:rsidR="00401986" w:rsidRDefault="00B137D7">
      <w:pPr>
        <w:widowControl w:val="0"/>
        <w:spacing w:line="360" w:lineRule="auto"/>
        <w:ind w:firstLine="420"/>
        <w:jc w:val="both"/>
        <w:rPr>
          <w:rFonts w:ascii="宋体" w:hAnsi="宋体" w:cs="宋体"/>
          <w:sz w:val="21"/>
          <w:szCs w:val="21"/>
        </w:rPr>
      </w:pPr>
      <w:r>
        <w:rPr>
          <w:rFonts w:ascii="宋体" w:hAnsi="宋体" w:cs="宋体"/>
          <w:sz w:val="21"/>
          <w:szCs w:val="21"/>
        </w:rPr>
        <w:t>5、《基金合同》可印制成册，供投资者在基金管理人、基金托管人、销售机构的办公场所和营业场所查阅。</w:t>
      </w:r>
    </w:p>
    <w:p w14:paraId="4B4B64DC" w14:textId="77777777" w:rsidR="00401986" w:rsidRDefault="00B137D7">
      <w:pPr>
        <w:pStyle w:val="1"/>
        <w:keepLines/>
        <w:pageBreakBefore/>
        <w:widowControl w:val="0"/>
        <w:spacing w:before="0" w:after="0" w:line="360" w:lineRule="auto"/>
        <w:jc w:val="center"/>
        <w:rPr>
          <w:rFonts w:ascii="Times New Roman" w:eastAsia="Times New Roman" w:hAnsi="Times New Roman" w:cs="Times New Roman"/>
        </w:rPr>
      </w:pPr>
      <w:bookmarkStart w:id="25" w:name="_Toc256000022"/>
      <w:r>
        <w:rPr>
          <w:rFonts w:ascii="宋体" w:hAnsi="宋体" w:cs="宋体"/>
          <w:kern w:val="36"/>
          <w:sz w:val="24"/>
          <w:szCs w:val="24"/>
        </w:rPr>
        <w:lastRenderedPageBreak/>
        <w:t>第二十三部分 其他事项</w:t>
      </w:r>
      <w:bookmarkEnd w:id="25"/>
    </w:p>
    <w:p w14:paraId="266939C5" w14:textId="77777777" w:rsidR="00401986" w:rsidRDefault="00401986">
      <w:pPr>
        <w:widowControl w:val="0"/>
        <w:spacing w:line="360" w:lineRule="auto"/>
        <w:jc w:val="both"/>
        <w:rPr>
          <w:rFonts w:ascii="宋体" w:hAnsi="宋体" w:cs="宋体"/>
          <w:sz w:val="21"/>
          <w:szCs w:val="21"/>
        </w:rPr>
      </w:pPr>
    </w:p>
    <w:p w14:paraId="2DD9F8FC" w14:textId="77777777" w:rsidR="00401986" w:rsidRDefault="00B137D7">
      <w:pPr>
        <w:widowControl w:val="0"/>
        <w:spacing w:line="360" w:lineRule="auto"/>
        <w:ind w:firstLine="420"/>
        <w:rPr>
          <w:rFonts w:ascii="宋体" w:hAnsi="宋体" w:cs="宋体"/>
          <w:sz w:val="21"/>
          <w:szCs w:val="21"/>
        </w:rPr>
      </w:pPr>
      <w:r>
        <w:rPr>
          <w:rFonts w:ascii="宋体" w:hAnsi="宋体" w:cs="宋体"/>
          <w:sz w:val="21"/>
          <w:szCs w:val="21"/>
        </w:rPr>
        <w:t>《基金合同》如有未尽事宜，由《基金合同》当事人各方按有关法律法规协商解决。</w:t>
      </w:r>
    </w:p>
    <w:p w14:paraId="1E319ACA" w14:textId="77777777" w:rsidR="00401986" w:rsidRDefault="00B137D7">
      <w:pPr>
        <w:pStyle w:val="1"/>
        <w:keepLines/>
        <w:pageBreakBefore/>
        <w:widowControl w:val="0"/>
        <w:spacing w:before="0" w:after="0" w:line="360" w:lineRule="auto"/>
        <w:jc w:val="center"/>
        <w:rPr>
          <w:rFonts w:ascii="Times New Roman" w:eastAsia="Times New Roman" w:hAnsi="Times New Roman" w:cs="Times New Roman"/>
        </w:rPr>
      </w:pPr>
      <w:bookmarkStart w:id="26" w:name="_Toc256000023"/>
      <w:r>
        <w:rPr>
          <w:rFonts w:ascii="宋体" w:hAnsi="宋体" w:cs="宋体"/>
          <w:kern w:val="36"/>
          <w:sz w:val="24"/>
          <w:szCs w:val="24"/>
        </w:rPr>
        <w:lastRenderedPageBreak/>
        <w:t>第二十四部分 基金合同内容摘要</w:t>
      </w:r>
      <w:bookmarkEnd w:id="26"/>
    </w:p>
    <w:p w14:paraId="15FE376C" w14:textId="77777777" w:rsidR="00401986" w:rsidRDefault="00401986">
      <w:pPr>
        <w:widowControl w:val="0"/>
        <w:spacing w:line="360" w:lineRule="auto"/>
        <w:jc w:val="both"/>
        <w:rPr>
          <w:rFonts w:ascii="宋体" w:hAnsi="宋体" w:cs="宋体"/>
          <w:sz w:val="21"/>
          <w:szCs w:val="21"/>
        </w:rPr>
      </w:pPr>
    </w:p>
    <w:p w14:paraId="0CD3A8EA"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b/>
          <w:bCs/>
          <w:sz w:val="21"/>
          <w:szCs w:val="21"/>
        </w:rPr>
        <w:t>一、</w:t>
      </w:r>
      <w:r>
        <w:rPr>
          <w:rFonts w:ascii="宋体" w:hAnsi="宋体" w:cs="宋体"/>
          <w:b/>
          <w:bCs/>
          <w:sz w:val="21"/>
          <w:szCs w:val="21"/>
        </w:rPr>
        <w:t>基金份额持有人、基金管理人和基金托管人的权利、义务</w:t>
      </w:r>
    </w:p>
    <w:p w14:paraId="2F03C418"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（一）</w:t>
      </w:r>
      <w:r>
        <w:rPr>
          <w:rFonts w:ascii="宋体" w:hAnsi="宋体" w:cs="宋体"/>
          <w:sz w:val="21"/>
          <w:szCs w:val="21"/>
        </w:rPr>
        <w:t>基金份额持有人的权利、义务</w:t>
      </w:r>
    </w:p>
    <w:p w14:paraId="3E869134"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基金投资者持有本</w:t>
      </w:r>
      <w:proofErr w:type="gramStart"/>
      <w:r>
        <w:rPr>
          <w:rFonts w:ascii="宋体" w:hAnsi="宋体" w:cs="宋体"/>
          <w:sz w:val="21"/>
          <w:szCs w:val="21"/>
        </w:rPr>
        <w:t>基金基金</w:t>
      </w:r>
      <w:proofErr w:type="gramEnd"/>
      <w:r>
        <w:rPr>
          <w:rFonts w:ascii="宋体" w:hAnsi="宋体" w:cs="宋体"/>
          <w:sz w:val="21"/>
          <w:szCs w:val="21"/>
        </w:rPr>
        <w:t>份额的行为即视为对《基金合同》的承认和接受，基金投资者</w:t>
      </w:r>
      <w:proofErr w:type="gramStart"/>
      <w:r>
        <w:rPr>
          <w:rFonts w:ascii="宋体" w:hAnsi="宋体" w:cs="宋体"/>
          <w:sz w:val="21"/>
          <w:szCs w:val="21"/>
        </w:rPr>
        <w:t>自依</w:t>
      </w:r>
      <w:proofErr w:type="gramEnd"/>
      <w:r>
        <w:rPr>
          <w:rFonts w:ascii="宋体" w:hAnsi="宋体" w:cs="宋体"/>
          <w:sz w:val="21"/>
          <w:szCs w:val="21"/>
        </w:rPr>
        <w:t>据《基金合同》取得基金份额，即成为本</w:t>
      </w:r>
      <w:proofErr w:type="gramStart"/>
      <w:r>
        <w:rPr>
          <w:rFonts w:ascii="宋体" w:hAnsi="宋体" w:cs="宋体"/>
          <w:sz w:val="21"/>
          <w:szCs w:val="21"/>
        </w:rPr>
        <w:t>基金基</w:t>
      </w:r>
      <w:proofErr w:type="gramEnd"/>
      <w:r>
        <w:rPr>
          <w:rFonts w:ascii="宋体" w:hAnsi="宋体" w:cs="宋体"/>
          <w:sz w:val="21"/>
          <w:szCs w:val="21"/>
        </w:rPr>
        <w:t>金份额持有人和《基金合同》的当事人，直至其不再持有本基金的基金份额。基金份额持有人作为《基金合同》当事人并不以在《基金合同》上书面签章或签字为必要条件。</w:t>
      </w:r>
    </w:p>
    <w:p w14:paraId="4B7D527B"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同一类别每份基金份额具有同等的合法权益。</w:t>
      </w:r>
    </w:p>
    <w:p w14:paraId="21D20350"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1、根据《基金法》、《运作办法》及其他有关规定，基金份额持有人的权利包括但不限于：</w:t>
      </w:r>
    </w:p>
    <w:p w14:paraId="10D5EA9C"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（1）分享基金财产收益；</w:t>
      </w:r>
    </w:p>
    <w:p w14:paraId="79960E47"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（2）参与分配清算后的剩余基金财产；</w:t>
      </w:r>
    </w:p>
    <w:p w14:paraId="0CAEAF0F"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（3）依法转让或者申请赎回其持有的基金份额；</w:t>
      </w:r>
    </w:p>
    <w:p w14:paraId="247E9044"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（4）按照规定要求召开基金份额持有人大会或者召集基金份额持有人大会；</w:t>
      </w:r>
    </w:p>
    <w:p w14:paraId="267154ED"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（5）出席或者委派代表出席基金份额持有人大会，对基金份额持有人大会审议事项行使表决权；</w:t>
      </w:r>
    </w:p>
    <w:p w14:paraId="64D3C1D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（6）查阅或者复制公开披露的基金信息资料；</w:t>
      </w:r>
    </w:p>
    <w:p w14:paraId="2AC13D3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（7）监督基金管理人的投资运作；</w:t>
      </w:r>
    </w:p>
    <w:p w14:paraId="5256191B"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（8）对基金管理人、基金托管人、基金服务机构损害其合法权益的行为依法提起诉讼或仲裁；</w:t>
      </w:r>
    </w:p>
    <w:p w14:paraId="4C0E0E81"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（9）法律法规及中国证监会规定的和《基金合同》约定的其他权利。</w:t>
      </w:r>
    </w:p>
    <w:p w14:paraId="524F41B4"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2、根据《基金法》、《运作办法》及其他有关规定，基金份额持有人的义务包括但不限于：</w:t>
      </w:r>
    </w:p>
    <w:p w14:paraId="4598843C"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（1）认真阅读并遵守《基金合同》、招募说明书等信息披露文件；</w:t>
      </w:r>
    </w:p>
    <w:p w14:paraId="0715D694"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（2）了解所投资基金产品，了解自身风险承受能力，自主判断基金的投资价值，自主做出投资决策，自行承担投资风险；</w:t>
      </w:r>
    </w:p>
    <w:p w14:paraId="6BD5AB01"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（3）关注基金信息披露，及时行使权利和履行义务；</w:t>
      </w:r>
    </w:p>
    <w:p w14:paraId="7F0E2AE3"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（4）交纳基金认购、申购款项及法律法规和《基金合同》所规定的费用；</w:t>
      </w:r>
    </w:p>
    <w:p w14:paraId="5D904B7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（5）在其持有的基金份额范围内，承担基金亏损或者《基金合同》终止的有限责任；</w:t>
      </w:r>
    </w:p>
    <w:p w14:paraId="03ABD798"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（6）不从事任何有损基金及其他《基金合同》当事人合法权益的活动；</w:t>
      </w:r>
    </w:p>
    <w:p w14:paraId="727AA10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（7）执行生效的基金份额持有人大会的决议；</w:t>
      </w:r>
    </w:p>
    <w:p w14:paraId="657FABC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（8）返还在基金交易过程中因任何原因获得的不当得利；</w:t>
      </w:r>
    </w:p>
    <w:p w14:paraId="6DEEF53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（9）法律法规及中国证监会规定的和《基金合同》约定的其他义务。</w:t>
      </w:r>
    </w:p>
    <w:p w14:paraId="0341669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lastRenderedPageBreak/>
        <w:t>（二）</w:t>
      </w:r>
      <w:r>
        <w:rPr>
          <w:rFonts w:ascii="宋体" w:hAnsi="宋体" w:cs="宋体"/>
          <w:sz w:val="21"/>
          <w:szCs w:val="21"/>
        </w:rPr>
        <w:t>基金管理人的权利、义务</w:t>
      </w:r>
    </w:p>
    <w:p w14:paraId="7F0895A0"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1、根据《基金法》、《运作办法》及其他有关规定，基金管理人的权利包括但不限于：</w:t>
      </w:r>
    </w:p>
    <w:p w14:paraId="076109E0"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（1）依法募集资金；</w:t>
      </w:r>
    </w:p>
    <w:p w14:paraId="30C48C6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（2）自《基金合同》生效之日起，根据法律法规和《基金合同》独立运用并管理基金财产；</w:t>
      </w:r>
    </w:p>
    <w:p w14:paraId="7F4AFD77"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（3）依照《基金合同》收取基金管理费以及法律法规规定或中国证监会批准的其他费用；</w:t>
      </w:r>
    </w:p>
    <w:p w14:paraId="7AEACB51"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（4）销售基金份额；</w:t>
      </w:r>
    </w:p>
    <w:p w14:paraId="1C86E3D4"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（5）按照规定召集基金份额持有人大会；</w:t>
      </w:r>
    </w:p>
    <w:p w14:paraId="7DDF0A2A"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（6）依据《基金合同》及有关法律规定监督基金托管人，如认为基金托管人违反了《基金合同》及国家有关法律规定，应呈报中国证监会和其他监管部门，并采取必要措施保护基金投资者的利益；</w:t>
      </w:r>
    </w:p>
    <w:p w14:paraId="7095D867"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（7）在基金托管人更换时，提名新的基金托管人；</w:t>
      </w:r>
    </w:p>
    <w:p w14:paraId="3F9BDE08"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（8）选择、更换基金销售机构，对基金销售机构的相关行为进行监督和处理；</w:t>
      </w:r>
    </w:p>
    <w:p w14:paraId="59A1A110"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（9）担任或委托其他符合条件的机构担任基金登记机构办理基金登记业务并获得《基金合同》规定的费用；</w:t>
      </w:r>
    </w:p>
    <w:p w14:paraId="28ACB99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（10）依据《基金合同》及有关法律规定决定基金收益的分配方案；</w:t>
      </w:r>
    </w:p>
    <w:p w14:paraId="055849A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（11）在《基金合同》约定的范围内，拒绝或暂停受理申购、赎回或转换申请；</w:t>
      </w:r>
    </w:p>
    <w:p w14:paraId="270E017B"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（12）依照法律法规</w:t>
      </w:r>
      <w:r>
        <w:rPr>
          <w:rFonts w:ascii="宋体" w:hAnsi="宋体" w:cs="宋体" w:hint="eastAsia"/>
          <w:sz w:val="21"/>
          <w:szCs w:val="21"/>
        </w:rPr>
        <w:t>为基金的利益对被投资公司行使股东权利，</w:t>
      </w:r>
      <w:r>
        <w:rPr>
          <w:rFonts w:ascii="宋体" w:hAnsi="宋体" w:cs="宋体"/>
          <w:sz w:val="21"/>
          <w:szCs w:val="21"/>
        </w:rPr>
        <w:t>为基金的利益行使因基金财产投资所产生的权利；</w:t>
      </w:r>
    </w:p>
    <w:p w14:paraId="5F5B8A8C"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（13）在法律法规允许的前提下，为基金的利益依法为基金进行融资；</w:t>
      </w:r>
    </w:p>
    <w:p w14:paraId="55DF05E8"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（14）以基金管理人的名义，代表基金份额持有人的利益行使诉讼权利或者实施其他法律行为；</w:t>
      </w:r>
    </w:p>
    <w:p w14:paraId="67F2887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（15）选择、更换律师事务所、会计师事务所、证券/期货经纪商或其他为基金提供服务的外部机构；</w:t>
      </w:r>
    </w:p>
    <w:p w14:paraId="5E695E38"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（16）在符合有关法律、法规的前提下，制订和调整有关基金认购、申购、赎回、转换</w:t>
      </w:r>
      <w:r>
        <w:rPr>
          <w:rFonts w:ascii="宋体" w:hAnsi="宋体" w:cs="宋体" w:hint="eastAsia"/>
          <w:sz w:val="21"/>
          <w:szCs w:val="21"/>
        </w:rPr>
        <w:t>、转托管、定期定额投资</w:t>
      </w:r>
      <w:r>
        <w:rPr>
          <w:rFonts w:ascii="宋体" w:hAnsi="宋体" w:cs="宋体"/>
          <w:sz w:val="21"/>
          <w:szCs w:val="21"/>
        </w:rPr>
        <w:t>和</w:t>
      </w:r>
      <w:proofErr w:type="gramStart"/>
      <w:r>
        <w:rPr>
          <w:rFonts w:ascii="宋体" w:hAnsi="宋体" w:cs="宋体"/>
          <w:sz w:val="21"/>
          <w:szCs w:val="21"/>
        </w:rPr>
        <w:t>非交易</w:t>
      </w:r>
      <w:proofErr w:type="gramEnd"/>
      <w:r>
        <w:rPr>
          <w:rFonts w:ascii="宋体" w:hAnsi="宋体" w:cs="宋体"/>
          <w:sz w:val="21"/>
          <w:szCs w:val="21"/>
        </w:rPr>
        <w:t>过户等业务规则；</w:t>
      </w:r>
    </w:p>
    <w:p w14:paraId="0B507E43"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（17）法律法规及中国证监会规定的和《基金合同》约定的其他权利。</w:t>
      </w:r>
    </w:p>
    <w:p w14:paraId="2A0883B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2、根据《基金法》、《运作办法》及其他有关规定，基金管理人的义务包括但不限于：</w:t>
      </w:r>
    </w:p>
    <w:p w14:paraId="23B2DABB"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（1）依法募集资金，办理或者委托经中国证监会认定的其他机构办理基金份额的发售、申购、赎回和登记事宜；</w:t>
      </w:r>
    </w:p>
    <w:p w14:paraId="1F7DEF1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（2）办理基金备案手续；</w:t>
      </w:r>
    </w:p>
    <w:p w14:paraId="3D49C67B"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（3）自《基金合同》生效之日起，以诚实信用、谨慎勤勉的原则管理和运用基金财产；</w:t>
      </w:r>
    </w:p>
    <w:p w14:paraId="52502BF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（4）配备足够的具有专业资格的人员进行基金投资分析、决策，以专业化的经营方式</w:t>
      </w:r>
      <w:r>
        <w:rPr>
          <w:rFonts w:ascii="宋体" w:hAnsi="宋体" w:cs="宋体"/>
          <w:sz w:val="21"/>
          <w:szCs w:val="21"/>
        </w:rPr>
        <w:lastRenderedPageBreak/>
        <w:t>管理和运作基金财产；</w:t>
      </w:r>
    </w:p>
    <w:p w14:paraId="68B3369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（5）建立健全内部风险控制、监察与稽核、财务管理及人事管理等制度，保证所管理的基金财产和基金管理人的财产相互独立，对所管理的不同基金分别管理，分别记账，进行证券投资；</w:t>
      </w:r>
    </w:p>
    <w:p w14:paraId="3E41F780"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（6）除依据《基金法》、《基金合同》及其他有关规定外，不得利用基金财产为自己及任何第三人谋取利益，不得委托第三人运作基金财产；</w:t>
      </w:r>
    </w:p>
    <w:p w14:paraId="03C0CFA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（7）依法接受基金托管人的监督；</w:t>
      </w:r>
    </w:p>
    <w:p w14:paraId="16EA1D1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（8）采取适当合理的措施使计算基金份额认购、申购、赎回和注销价格的方法符合《基金合同》等法律文件的规定，按有关规定计算并公告基金净值信息，确定基金份额申购、赎回的价格；</w:t>
      </w:r>
    </w:p>
    <w:p w14:paraId="2E69FD41"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（9）进行基金会计核算并编制基金财务会计报告；</w:t>
      </w:r>
    </w:p>
    <w:p w14:paraId="3325658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（10）编制季度报告、中期报告和年度报告；</w:t>
      </w:r>
    </w:p>
    <w:p w14:paraId="3CB5C23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（11）严格按照《基金法》、《基金合同》及其他有关规定，履行信息披露及报告义务；</w:t>
      </w:r>
    </w:p>
    <w:p w14:paraId="23E98D3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（12）保守基金商业秘密，不泄露基金投资计划、投资意向等。除《基金法》、《基金合同》及其他有关规定另有规定外，在基金信息公开披露前应予保密，不向他人泄露</w:t>
      </w:r>
      <w:r>
        <w:rPr>
          <w:rFonts w:ascii="宋体" w:hAnsi="宋体" w:cs="宋体" w:hint="eastAsia"/>
          <w:sz w:val="21"/>
          <w:szCs w:val="21"/>
        </w:rPr>
        <w:t>，向监管机构、司法机关等有权机关，以及审计、法律等外部专业顾问提供的情况除外</w:t>
      </w:r>
      <w:r>
        <w:rPr>
          <w:rFonts w:ascii="宋体" w:hAnsi="宋体" w:cs="宋体"/>
          <w:sz w:val="21"/>
          <w:szCs w:val="21"/>
        </w:rPr>
        <w:t>；</w:t>
      </w:r>
    </w:p>
    <w:p w14:paraId="51DAE51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（13）按《基金合同》的约定确定基金收益分配方案，及时向基金份额持有人分配基金收益；</w:t>
      </w:r>
    </w:p>
    <w:p w14:paraId="5592D3E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（14）按规定受理申购与赎回申请，及时、足额支付赎回款项；</w:t>
      </w:r>
    </w:p>
    <w:p w14:paraId="7CD93CFB"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（15）依据《基金法》、《基金合同》及其他有关规定召集基金份额持有人大会或配合基金托管人、基金份额持有人依法召集基金份额持有人大会；</w:t>
      </w:r>
    </w:p>
    <w:p w14:paraId="35055C20"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（16）按规定保存基金财产管理业务活动的会计账册、报表、记录和其他相关资料，保存期限</w:t>
      </w:r>
      <w:r>
        <w:rPr>
          <w:rFonts w:ascii="宋体" w:hAnsi="宋体" w:cs="宋体" w:hint="eastAsia"/>
          <w:sz w:val="21"/>
          <w:szCs w:val="21"/>
        </w:rPr>
        <w:t>不少于法律法规的规定</w:t>
      </w:r>
      <w:r>
        <w:rPr>
          <w:rFonts w:ascii="宋体" w:hAnsi="宋体" w:cs="宋体"/>
          <w:sz w:val="21"/>
          <w:szCs w:val="21"/>
        </w:rPr>
        <w:t>；</w:t>
      </w:r>
    </w:p>
    <w:p w14:paraId="29AC03A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715EBB3"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（18）组织并参加基金财产清算小组，参与基金财产的保管、清理、估价、变现和分配；</w:t>
      </w:r>
    </w:p>
    <w:p w14:paraId="2F00026D"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（19）面临解散、依法被撤销或者被依法宣告破产时，及时报告中国证监会并通知基金托管人；</w:t>
      </w:r>
    </w:p>
    <w:p w14:paraId="2E69E59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（20）因违反《基金合同》导致基金财产的损失或损害基金份额持有人合法权益时，应当承担赔偿责任，其赔偿责任不因其退任而免除；</w:t>
      </w:r>
    </w:p>
    <w:p w14:paraId="2F9AA5F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（21）监督基金托管人按法律法规和《基金合同》规定履行自己的义务，基金托管人</w:t>
      </w:r>
      <w:r>
        <w:rPr>
          <w:rFonts w:ascii="宋体" w:hAnsi="宋体" w:cs="宋体"/>
          <w:sz w:val="21"/>
          <w:szCs w:val="21"/>
        </w:rPr>
        <w:lastRenderedPageBreak/>
        <w:t>违反《基金合同》造成基金财产损失时，基金管理人应为基金份额持有人利益向基金托管人追偿；</w:t>
      </w:r>
    </w:p>
    <w:p w14:paraId="5ADD6D63"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（22）当基金管理人将其义务委托第三方处理时，应当对第三方处理有关基金事务的行为承担责任；</w:t>
      </w:r>
    </w:p>
    <w:p w14:paraId="7BBA5071"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（23）以基金管理人名义，代表基金份额持有人利益行使诉讼权利或实施其他法律行为；</w:t>
      </w:r>
    </w:p>
    <w:p w14:paraId="35AD0B51"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（24）基金管理人在募集期间未能达到基金的备案条件，《基金合同》不能生效，基金管理人承担全部募集费用，将已募集资金并加计银行同期活期存款利息在基金募集期结束后30日内退还基金认购人；</w:t>
      </w:r>
    </w:p>
    <w:p w14:paraId="4A97FD77"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（25）执行生效的基金份额持有人大会的决议；</w:t>
      </w:r>
    </w:p>
    <w:p w14:paraId="43E38C4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（26）建立并保存基金份额持有人名册；</w:t>
      </w:r>
    </w:p>
    <w:p w14:paraId="0B8A708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（27）法律法规及中国证监会规定的和《基金合同》约定的其他义务。</w:t>
      </w:r>
    </w:p>
    <w:p w14:paraId="590B4C2C"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（三）</w:t>
      </w:r>
      <w:r>
        <w:rPr>
          <w:rFonts w:ascii="宋体" w:hAnsi="宋体" w:cs="宋体"/>
          <w:sz w:val="21"/>
          <w:szCs w:val="21"/>
        </w:rPr>
        <w:t>基金托管人的权利、义务</w:t>
      </w:r>
    </w:p>
    <w:p w14:paraId="2176141F"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1、根据《基金法》、《运作办法》及其他有关规定，基金托管人的权利包括但不限于：</w:t>
      </w:r>
    </w:p>
    <w:p w14:paraId="49EE9E7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（1）自《基金合同》生效之日起，依法</w:t>
      </w:r>
      <w:proofErr w:type="gramStart"/>
      <w:r>
        <w:rPr>
          <w:rFonts w:ascii="宋体" w:hAnsi="宋体" w:cs="宋体"/>
          <w:sz w:val="21"/>
          <w:szCs w:val="21"/>
        </w:rPr>
        <w:t>律法规</w:t>
      </w:r>
      <w:proofErr w:type="gramEnd"/>
      <w:r>
        <w:rPr>
          <w:rFonts w:ascii="宋体" w:hAnsi="宋体" w:cs="宋体"/>
          <w:sz w:val="21"/>
          <w:szCs w:val="21"/>
        </w:rPr>
        <w:t>和《基金合同》的规定安全保管基金财产；</w:t>
      </w:r>
    </w:p>
    <w:p w14:paraId="6241ED5B"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（2）依《基金合同》约定获得基金托管费以及法律法规规定或监管部门批准的其他费用；</w:t>
      </w:r>
    </w:p>
    <w:p w14:paraId="163BA9C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9EC27F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（4）根据相关市场规则，为基金开设资金账户、证券账户等投资所需账户，为基金办理证券交易资金清算；</w:t>
      </w:r>
    </w:p>
    <w:p w14:paraId="43C5A97C"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（5）提议召开或召集基金份额持有人大会；</w:t>
      </w:r>
    </w:p>
    <w:p w14:paraId="1103DED4"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（6）在基金管理人更换时，提名新的基金管理人；</w:t>
      </w:r>
    </w:p>
    <w:p w14:paraId="5C882A41"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（7）法律法规及中国证监会规定的和《基金合同》约定的其他权利。</w:t>
      </w:r>
    </w:p>
    <w:p w14:paraId="6EC9E523"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2、根据《基金法》、《运作办法》及其他有关规定，基金托管人的义务包括但不限于：</w:t>
      </w:r>
    </w:p>
    <w:p w14:paraId="526874A3"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（1）以诚实信用、勤勉尽责的原则持有并安全保管基金财产；</w:t>
      </w:r>
    </w:p>
    <w:p w14:paraId="0C4F740C"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（2）设立专门的基金托管部门，具有符合要求的营业场所，配备足够的、合格的熟悉基金托管业务的专职人员，负责基金财产托管事宜；</w:t>
      </w:r>
    </w:p>
    <w:p w14:paraId="5F23BA3D"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8AC93B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lastRenderedPageBreak/>
        <w:t>（4）除依据《基金法》、《基金合同》及其他有关规定外，不得利用基金财产为自己及任何第三人谋取利益，不得委托第三人托管基金财产；</w:t>
      </w:r>
    </w:p>
    <w:p w14:paraId="0FACDB3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（5）保管由基金管理人代表基金签订的与基金有关的重大合同及有关凭证；</w:t>
      </w:r>
    </w:p>
    <w:p w14:paraId="75624B67"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（6）按规定开设基金财产的资金账户和证券账户等投资所需账户，按照《基金合同》的约定，根据基金管理人的投资指令，及时办理清算、交割事宜；</w:t>
      </w:r>
    </w:p>
    <w:p w14:paraId="56F3B5BD"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（7）保守基金商业秘密，除《基金法》、《基金合同》及其他有关规定另有规定外，在基金信息公开披露前予以保密，不得向他人泄露</w:t>
      </w:r>
      <w:r>
        <w:rPr>
          <w:rFonts w:ascii="宋体" w:hAnsi="宋体" w:cs="宋体" w:hint="eastAsia"/>
          <w:sz w:val="21"/>
          <w:szCs w:val="21"/>
        </w:rPr>
        <w:t>，向监管机构、司法机关等有权机关，以及审计、法律等外部专业顾问提供的情况除外</w:t>
      </w:r>
      <w:r>
        <w:rPr>
          <w:rFonts w:ascii="宋体" w:hAnsi="宋体" w:cs="宋体"/>
          <w:sz w:val="21"/>
          <w:szCs w:val="21"/>
        </w:rPr>
        <w:t>；</w:t>
      </w:r>
    </w:p>
    <w:p w14:paraId="5E8FEF4C"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（8）复核、审查基金管理人计算的基金资产净值、各类基金份额净值、基金份额申购、赎回价格；</w:t>
      </w:r>
    </w:p>
    <w:p w14:paraId="52DC1611"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（9）办理与基金托管业务活动有关的信息披露事项；</w:t>
      </w:r>
    </w:p>
    <w:p w14:paraId="604773C0"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03063F8"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（11）保存基金托管业务活动的记录、账册、报表和其他相关资料，保存期限</w:t>
      </w:r>
      <w:r>
        <w:rPr>
          <w:rFonts w:ascii="宋体" w:hAnsi="宋体" w:cs="宋体" w:hint="eastAsia"/>
          <w:sz w:val="21"/>
          <w:szCs w:val="21"/>
        </w:rPr>
        <w:t>不少于法律法规的规定</w:t>
      </w:r>
      <w:r>
        <w:rPr>
          <w:rFonts w:ascii="宋体" w:hAnsi="宋体" w:cs="宋体"/>
          <w:sz w:val="21"/>
          <w:szCs w:val="21"/>
        </w:rPr>
        <w:t>；</w:t>
      </w:r>
    </w:p>
    <w:p w14:paraId="4B77E50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（12）从基金管理人或其委托的登记机构处接收并保存基金份额持有人名册；</w:t>
      </w:r>
    </w:p>
    <w:p w14:paraId="519B1A4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（13）按规定制作相关账册并与基金管理人核对；</w:t>
      </w:r>
    </w:p>
    <w:p w14:paraId="464B3D74"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（14）依据基金管理人的指令或有关规定向基金份额持有人支付基金收益和赎回款项；</w:t>
      </w:r>
    </w:p>
    <w:p w14:paraId="4F815F0F"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（15）依据《基金法》、《基金合同》及其他有关规定，召集基金份额持有人大会或配合基金管理人、基金份额持有人依法召集基金份额持有人大会；</w:t>
      </w:r>
    </w:p>
    <w:p w14:paraId="3128AD13"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（16）按照法律法规和《基金合同》的规定监督基金管理人的投资运作；</w:t>
      </w:r>
    </w:p>
    <w:p w14:paraId="00847797"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（17）参加基金财产清算小组，参与基金财产的保管、清理、估价、变现和分配；</w:t>
      </w:r>
    </w:p>
    <w:p w14:paraId="74EC8C7B"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（18）面临解散、依法被撤销或者被依法宣告破产时，及时报告中国证监会和银行业监督管理机构，并通知基金管理人；</w:t>
      </w:r>
    </w:p>
    <w:p w14:paraId="31D64678"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（19）因违反《基金合同》导致基金财产损失时，应承担赔偿责任，其赔偿责任不因其退任而免除；</w:t>
      </w:r>
    </w:p>
    <w:p w14:paraId="045A2B4F"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（20）按规定监督基金管理人按法律法规和《基金合同》规定履行自己的义务，基金管理人因违反《基金合同》造成基金财产损失时，应为基金份额持有人利益向基金管理人追偿；</w:t>
      </w:r>
    </w:p>
    <w:p w14:paraId="123C34A4"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（21）执行生效的基金份额持有人大会的决议；</w:t>
      </w:r>
    </w:p>
    <w:p w14:paraId="2ABC413C"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（22）法律法规及中国证监会规定的和《基金合同》约定的其他义务。</w:t>
      </w:r>
    </w:p>
    <w:p w14:paraId="131F637B"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b/>
          <w:bCs/>
          <w:sz w:val="21"/>
          <w:szCs w:val="21"/>
        </w:rPr>
        <w:t>二</w:t>
      </w:r>
      <w:r>
        <w:rPr>
          <w:rFonts w:ascii="宋体" w:hAnsi="宋体" w:cs="宋体"/>
          <w:b/>
          <w:bCs/>
          <w:sz w:val="21"/>
          <w:szCs w:val="21"/>
        </w:rPr>
        <w:t>、基金份额持有人大会召集、议事及表决的程序和规则</w:t>
      </w:r>
    </w:p>
    <w:p w14:paraId="36382081"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基金份额持有人大会由基金份额持有人组成，基金份额持有人的合法授权代表有权代</w:t>
      </w:r>
      <w:r>
        <w:rPr>
          <w:rFonts w:ascii="宋体" w:hAnsi="宋体" w:cs="宋体"/>
          <w:sz w:val="21"/>
          <w:szCs w:val="21"/>
        </w:rPr>
        <w:lastRenderedPageBreak/>
        <w:t>表基金份额持有人出席会议并表决。基金份额持有人持有的每一基金份额拥有平等的投票权。本基金暂不设置日常机构，日常机构的设置和相关规则按照法律法规的有关规定进行。</w:t>
      </w:r>
    </w:p>
    <w:p w14:paraId="2243BEE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（一）</w:t>
      </w:r>
      <w:r>
        <w:rPr>
          <w:rFonts w:ascii="宋体" w:hAnsi="宋体" w:cs="宋体"/>
          <w:sz w:val="21"/>
          <w:szCs w:val="21"/>
        </w:rPr>
        <w:t>召开事由</w:t>
      </w:r>
    </w:p>
    <w:p w14:paraId="1BFF1C5A"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1、当出现或需要决定下列事由之一的，应当召开基金份额持有人大会，法律法规、中国证监会另有规定或基金合同另有约定的除外：</w:t>
      </w:r>
    </w:p>
    <w:p w14:paraId="24EF754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（1）终止《基金合同》；</w:t>
      </w:r>
    </w:p>
    <w:p w14:paraId="1172CA5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（2）更换基金管理人；</w:t>
      </w:r>
    </w:p>
    <w:p w14:paraId="7BC8F8CA"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（3）更换基金托管人；</w:t>
      </w:r>
    </w:p>
    <w:p w14:paraId="67FD5C6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（4）转换基金运作方式；</w:t>
      </w:r>
    </w:p>
    <w:p w14:paraId="7DCE174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（5）</w:t>
      </w:r>
      <w:r>
        <w:rPr>
          <w:rFonts w:ascii="宋体" w:hAnsi="宋体" w:cs="宋体" w:hint="eastAsia"/>
          <w:sz w:val="21"/>
          <w:szCs w:val="21"/>
        </w:rPr>
        <w:t>调整</w:t>
      </w:r>
      <w:r>
        <w:rPr>
          <w:rFonts w:ascii="宋体" w:hAnsi="宋体" w:cs="宋体"/>
          <w:sz w:val="21"/>
          <w:szCs w:val="21"/>
        </w:rPr>
        <w:t>基金管理人、基金托管人的报酬标准或提高销售服务费</w:t>
      </w:r>
      <w:r>
        <w:rPr>
          <w:rFonts w:ascii="宋体" w:hAnsi="宋体" w:cs="宋体" w:hint="eastAsia"/>
          <w:sz w:val="21"/>
          <w:szCs w:val="21"/>
        </w:rPr>
        <w:t>率</w:t>
      </w:r>
      <w:r>
        <w:rPr>
          <w:rFonts w:ascii="宋体" w:hAnsi="宋体" w:cs="宋体"/>
          <w:sz w:val="21"/>
          <w:szCs w:val="21"/>
        </w:rPr>
        <w:t>；</w:t>
      </w:r>
    </w:p>
    <w:p w14:paraId="66610744"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（6）变更基金类别；</w:t>
      </w:r>
    </w:p>
    <w:p w14:paraId="3360A654"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（7）本基金与其他基金的合并；</w:t>
      </w:r>
    </w:p>
    <w:p w14:paraId="1DD9AA34"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（8）变更基金投资目标、范围或策略；</w:t>
      </w:r>
    </w:p>
    <w:p w14:paraId="42633D8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（9）变更基金份额持有人大会程序；</w:t>
      </w:r>
    </w:p>
    <w:p w14:paraId="743BECBB"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（10）基金管理人或基金托管人要求召开基金份额持有人大会；</w:t>
      </w:r>
    </w:p>
    <w:p w14:paraId="39F5C4D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（11）单独或合计持有本基金总份额10%以上（含10%）基金份额的基金份额持有人（以基金管理人收到提议当日的基金份额计算，下同）就同一事项书面要求召开基金份额持有人大会；</w:t>
      </w:r>
    </w:p>
    <w:p w14:paraId="248D05CF"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（12）对基金合同当事人权利和义务产生重大影响的其他事项；</w:t>
      </w:r>
    </w:p>
    <w:p w14:paraId="5124954A"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（13）法律法规、《基金合同》或中国证监会规定的其他应当召开基金份额持有人大会的事项。</w:t>
      </w:r>
    </w:p>
    <w:p w14:paraId="03800F7A"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2、在法律法规规定和《基金合同》约定的范围内且对基金份额持有人利益无实质性不利影响的前提下，以下情况可由基金管理人和基金托管人协商后修改，不需召开基金份额持有人大会：</w:t>
      </w:r>
    </w:p>
    <w:p w14:paraId="62DE7BC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（1）法律法规要求增加的基金费用的收取；</w:t>
      </w:r>
    </w:p>
    <w:p w14:paraId="0C3EA369"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（2）调整本基金的申购费率、调低销售服务费</w:t>
      </w:r>
      <w:r>
        <w:rPr>
          <w:rFonts w:ascii="宋体" w:hAnsi="宋体" w:cs="宋体" w:hint="eastAsia"/>
          <w:sz w:val="21"/>
          <w:szCs w:val="21"/>
        </w:rPr>
        <w:t>率</w:t>
      </w:r>
      <w:r>
        <w:rPr>
          <w:rFonts w:ascii="宋体" w:hAnsi="宋体" w:cs="宋体"/>
          <w:sz w:val="21"/>
          <w:szCs w:val="21"/>
        </w:rPr>
        <w:t>或变更收费方式；</w:t>
      </w:r>
    </w:p>
    <w:p w14:paraId="5A0FB621"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（3）增加、减少、调整基金份额类别设置；</w:t>
      </w:r>
    </w:p>
    <w:p w14:paraId="27CAF8AA"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（4）基金管理人、登记机构、基金销售机构调整有关认购、申购、赎回、转换、</w:t>
      </w:r>
      <w:proofErr w:type="gramStart"/>
      <w:r>
        <w:rPr>
          <w:rFonts w:ascii="宋体" w:hAnsi="宋体" w:cs="宋体"/>
          <w:sz w:val="21"/>
          <w:szCs w:val="21"/>
        </w:rPr>
        <w:t>非交易</w:t>
      </w:r>
      <w:proofErr w:type="gramEnd"/>
      <w:r>
        <w:rPr>
          <w:rFonts w:ascii="宋体" w:hAnsi="宋体" w:cs="宋体"/>
          <w:sz w:val="21"/>
          <w:szCs w:val="21"/>
        </w:rPr>
        <w:t>过户、转托管</w:t>
      </w:r>
      <w:r>
        <w:rPr>
          <w:sz w:val="21"/>
          <w:szCs w:val="21"/>
        </w:rPr>
        <w:t>、定期定额投资</w:t>
      </w:r>
      <w:r>
        <w:rPr>
          <w:rFonts w:ascii="宋体" w:hAnsi="宋体" w:cs="宋体"/>
          <w:sz w:val="21"/>
          <w:szCs w:val="21"/>
        </w:rPr>
        <w:t>等业务规则；</w:t>
      </w:r>
    </w:p>
    <w:p w14:paraId="30B2621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（5）基金推出新业务或服务；</w:t>
      </w:r>
    </w:p>
    <w:p w14:paraId="46698EA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（6）</w:t>
      </w:r>
      <w:proofErr w:type="gramStart"/>
      <w:r>
        <w:rPr>
          <w:rFonts w:ascii="宋体" w:hAnsi="宋体" w:cs="宋体"/>
          <w:sz w:val="21"/>
          <w:szCs w:val="21"/>
        </w:rPr>
        <w:t>因相应</w:t>
      </w:r>
      <w:proofErr w:type="gramEnd"/>
      <w:r>
        <w:rPr>
          <w:rFonts w:ascii="宋体" w:hAnsi="宋体" w:cs="宋体"/>
          <w:sz w:val="21"/>
          <w:szCs w:val="21"/>
        </w:rPr>
        <w:t>的法律法规发生变动而应当对《基金合同》进行修改；</w:t>
      </w:r>
    </w:p>
    <w:p w14:paraId="5A9374E3"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（7）对《基金合同》的修改对基金份额持有人利益无实质性不利影响或修改不涉及《基金合同》当事人权利义务关系发生重大变化；</w:t>
      </w:r>
    </w:p>
    <w:p w14:paraId="65F813D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（8）按照法律法规和《基金合同》规定不需召开基金份额持有人大会的其他情形。</w:t>
      </w:r>
    </w:p>
    <w:p w14:paraId="791DDDB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lastRenderedPageBreak/>
        <w:t>（二）</w:t>
      </w:r>
      <w:r>
        <w:rPr>
          <w:rFonts w:ascii="宋体" w:hAnsi="宋体" w:cs="宋体"/>
          <w:sz w:val="21"/>
          <w:szCs w:val="21"/>
        </w:rPr>
        <w:t>会议召集人及召集方式</w:t>
      </w:r>
    </w:p>
    <w:p w14:paraId="09D0BC89"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1、除法律法规规定或《基金合同》另有约定外，基金份额持有人大会由基金管理人召集。</w:t>
      </w:r>
    </w:p>
    <w:p w14:paraId="27DD86A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2、基金管理人未按规定召集或不能召集时，由基金托管人召集。</w:t>
      </w:r>
    </w:p>
    <w:p w14:paraId="78834E97"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606AF13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01B4964A"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07F6370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6、基金份额持有人会议的召集人负责选择确定开会时间、地点、方式和权益登记日。</w:t>
      </w:r>
    </w:p>
    <w:p w14:paraId="0BAAC0F9"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（三）</w:t>
      </w:r>
      <w:r>
        <w:rPr>
          <w:rFonts w:ascii="宋体" w:hAnsi="宋体" w:cs="宋体"/>
          <w:sz w:val="21"/>
          <w:szCs w:val="21"/>
        </w:rPr>
        <w:t>召开基金份额持有人大会的通知时间、通知内容、通知方式</w:t>
      </w:r>
    </w:p>
    <w:p w14:paraId="30B9D35C"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1、召开基金份额持有人大会，召集人应于会议召开前30日，在规定媒介公告。基金份额持有人大会通知应至少载明以下内容：</w:t>
      </w:r>
    </w:p>
    <w:p w14:paraId="63EE42DF"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（1）会议召开的时间、地点和会议形式；</w:t>
      </w:r>
    </w:p>
    <w:p w14:paraId="46883EC7"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（2）会议</w:t>
      </w:r>
      <w:proofErr w:type="gramStart"/>
      <w:r>
        <w:rPr>
          <w:rFonts w:ascii="宋体" w:hAnsi="宋体" w:cs="宋体"/>
          <w:sz w:val="21"/>
          <w:szCs w:val="21"/>
        </w:rPr>
        <w:t>拟审议</w:t>
      </w:r>
      <w:proofErr w:type="gramEnd"/>
      <w:r>
        <w:rPr>
          <w:rFonts w:ascii="宋体" w:hAnsi="宋体" w:cs="宋体"/>
          <w:sz w:val="21"/>
          <w:szCs w:val="21"/>
        </w:rPr>
        <w:t>的事项、议事程序和表决方式；</w:t>
      </w:r>
    </w:p>
    <w:p w14:paraId="73DD22F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（3）有权出席基金份额持有人大会的基金份额持有人的权益登记日；</w:t>
      </w:r>
    </w:p>
    <w:p w14:paraId="05946E27"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（4）授权委托证明的内容要求（包括但不限于代理人身份，代理权限和代理有效期限等）、送达时间和地点；</w:t>
      </w:r>
    </w:p>
    <w:p w14:paraId="2A5275A8"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（5）会务常设联系人姓名及联系电话；</w:t>
      </w:r>
    </w:p>
    <w:p w14:paraId="38787D4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（6）出席会议者必须准备的文件和必须履行的手续；</w:t>
      </w:r>
    </w:p>
    <w:p w14:paraId="016BF9EC"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（7）召集人需要通知的其他事项。</w:t>
      </w:r>
    </w:p>
    <w:p w14:paraId="265F8B6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lastRenderedPageBreak/>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3A72EE5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cs="宋体"/>
          <w:sz w:val="21"/>
          <w:szCs w:val="21"/>
        </w:rPr>
        <w:t>拒不派</w:t>
      </w:r>
      <w:proofErr w:type="gramEnd"/>
      <w:r>
        <w:rPr>
          <w:rFonts w:ascii="宋体" w:hAnsi="宋体" w:cs="宋体"/>
          <w:sz w:val="21"/>
          <w:szCs w:val="21"/>
        </w:rPr>
        <w:t>代表对书面表决意见的计票进行监督的，不影响表决意见的计票效力。</w:t>
      </w:r>
    </w:p>
    <w:p w14:paraId="662F613A"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（四）</w:t>
      </w:r>
      <w:r>
        <w:rPr>
          <w:rFonts w:ascii="宋体" w:hAnsi="宋体" w:cs="宋体"/>
          <w:sz w:val="21"/>
          <w:szCs w:val="21"/>
        </w:rPr>
        <w:t>基金份额持有人出席会议的方式</w:t>
      </w:r>
    </w:p>
    <w:p w14:paraId="42B1E4C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基金份额持有人大会可通过现场开会方式、通讯开会方式或法律法规、监管机构允许的其他方式召开，会议的召开方式由会议召集人确定。</w:t>
      </w:r>
    </w:p>
    <w:p w14:paraId="3DA1B587"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FBDC7B8"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EA3C938"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5C6B280F"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15ECA291"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在同时符合以下条件时，通讯开会的方式视为有效：</w:t>
      </w:r>
    </w:p>
    <w:p w14:paraId="3225435B"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（1）会议召集人按《基金合同》约定公布会议通知后，在2个工作日内连续公布相关提示性公告。</w:t>
      </w:r>
    </w:p>
    <w:p w14:paraId="5A95DA1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w:t>
      </w:r>
      <w:r>
        <w:rPr>
          <w:rFonts w:ascii="宋体" w:hAnsi="宋体" w:cs="宋体"/>
          <w:sz w:val="21"/>
          <w:szCs w:val="21"/>
        </w:rPr>
        <w:lastRenderedPageBreak/>
        <w:t>的，不影响表决效力。</w:t>
      </w:r>
    </w:p>
    <w:p w14:paraId="41DD857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6A570F6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28F60FEC"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基金份额持有人亦可以采用书面、网络、电话、短信或其他方式进行表决，具体方式由会议召集人确定并在会议通知中列明。</w:t>
      </w:r>
    </w:p>
    <w:p w14:paraId="02CDAB1A"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（五）</w:t>
      </w:r>
      <w:r>
        <w:rPr>
          <w:rFonts w:ascii="宋体" w:hAnsi="宋体" w:cs="宋体"/>
          <w:sz w:val="21"/>
          <w:szCs w:val="21"/>
        </w:rPr>
        <w:t>议事内容与程序</w:t>
      </w:r>
    </w:p>
    <w:p w14:paraId="2729BA2C"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1、议事内容及提案权</w:t>
      </w:r>
    </w:p>
    <w:p w14:paraId="06D7E688"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3B3B0E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基金份额持有人大会的召集人发出召集会议的通知后，对原有提案的修改应当在基金份额持有人大会召开前及时公告。</w:t>
      </w:r>
    </w:p>
    <w:p w14:paraId="3F961197"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基金份额持有人大会不得对未事先公告的议事内容进行表决。</w:t>
      </w:r>
    </w:p>
    <w:p w14:paraId="7B2DA3DF"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2、议事程序</w:t>
      </w:r>
    </w:p>
    <w:p w14:paraId="20F48FEF"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（1）现场开会</w:t>
      </w:r>
    </w:p>
    <w:p w14:paraId="61428948"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在现场开会的方式下，首先由大会主持人按照下列第</w:t>
      </w:r>
      <w:r>
        <w:rPr>
          <w:rFonts w:ascii="宋体" w:hAnsi="宋体" w:cs="宋体" w:hint="eastAsia"/>
          <w:sz w:val="21"/>
          <w:szCs w:val="21"/>
        </w:rPr>
        <w:t>（七）</w:t>
      </w:r>
      <w:r>
        <w:rPr>
          <w:rFonts w:ascii="宋体" w:hAnsi="宋体" w:cs="宋体"/>
          <w:sz w:val="21"/>
          <w:szCs w:val="21"/>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w:t>
      </w:r>
      <w:r>
        <w:rPr>
          <w:rFonts w:ascii="宋体" w:hAnsi="宋体" w:cs="宋体"/>
          <w:sz w:val="21"/>
          <w:szCs w:val="21"/>
        </w:rPr>
        <w:lastRenderedPageBreak/>
        <w:t>管人拒不出席或主持基金份额持有人大会，不影响基金份额持有人大会</w:t>
      </w:r>
      <w:proofErr w:type="gramStart"/>
      <w:r>
        <w:rPr>
          <w:rFonts w:ascii="宋体" w:hAnsi="宋体" w:cs="宋体"/>
          <w:sz w:val="21"/>
          <w:szCs w:val="21"/>
        </w:rPr>
        <w:t>作出</w:t>
      </w:r>
      <w:proofErr w:type="gramEnd"/>
      <w:r>
        <w:rPr>
          <w:rFonts w:ascii="宋体" w:hAnsi="宋体" w:cs="宋体"/>
          <w:sz w:val="21"/>
          <w:szCs w:val="21"/>
        </w:rPr>
        <w:t>的决议的效力。</w:t>
      </w:r>
    </w:p>
    <w:p w14:paraId="5099779B"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会议召集人应当制作出席会议人员的签名册。签名</w:t>
      </w:r>
      <w:proofErr w:type="gramStart"/>
      <w:r>
        <w:rPr>
          <w:rFonts w:ascii="宋体" w:hAnsi="宋体" w:cs="宋体"/>
          <w:sz w:val="21"/>
          <w:szCs w:val="21"/>
        </w:rPr>
        <w:t>册</w:t>
      </w:r>
      <w:proofErr w:type="gramEnd"/>
      <w:r>
        <w:rPr>
          <w:rFonts w:ascii="宋体" w:hAnsi="宋体" w:cs="宋体"/>
          <w:sz w:val="21"/>
          <w:szCs w:val="21"/>
        </w:rPr>
        <w:t>载明参加会议人员姓名（或单位名称）、身份证明文件号码、持有或代表有表决权的基金份额、委托人姓名（或单位名称）和联系方式等事项。</w:t>
      </w:r>
    </w:p>
    <w:p w14:paraId="2A8E5717"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（2）通讯开会</w:t>
      </w:r>
    </w:p>
    <w:p w14:paraId="31AFE8C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在通讯开会的情况下，首先由召集人提前30日公布提案，在所通知的表决截止日期后2个工作日内在公证机关监督下由召集人统计全部有效表决，在公证机关监督下形成决议。</w:t>
      </w:r>
    </w:p>
    <w:p w14:paraId="4481981F"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（六）</w:t>
      </w:r>
      <w:r>
        <w:rPr>
          <w:rFonts w:ascii="宋体" w:hAnsi="宋体" w:cs="宋体"/>
          <w:sz w:val="21"/>
          <w:szCs w:val="21"/>
        </w:rPr>
        <w:t>表决</w:t>
      </w:r>
    </w:p>
    <w:p w14:paraId="3AB5ACD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基金份额持有人所持每份基金份额有一票表决权。</w:t>
      </w:r>
    </w:p>
    <w:p w14:paraId="66B463D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基金份额持有人大会决议分为一般决议和特别决议：</w:t>
      </w:r>
    </w:p>
    <w:p w14:paraId="3166D74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515D3354"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特别决议，特别决议应当经参加大会的基金份额持有人或其代理人所持表决权的三分之二以上（含三分之二）通过方可做出。除法律法规另有规定或本基金合同另有约定的，转换基金运作方式、更换基金管理人或者基金托管人、终止《基金合同》、本基金与其他基金合并以特别决议通过方为有效。</w:t>
      </w:r>
    </w:p>
    <w:p w14:paraId="7F86FF5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基金份额持有人大会采取记名方式进行投票表决。</w:t>
      </w:r>
    </w:p>
    <w:p w14:paraId="78FFC1E4"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06BE34B4"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基金份额持有人大会的各项提案或同一项提案内并列的各项议题应当分开审议、逐项表决。</w:t>
      </w:r>
    </w:p>
    <w:p w14:paraId="49F88E0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（七）</w:t>
      </w:r>
      <w:r>
        <w:rPr>
          <w:rFonts w:ascii="宋体" w:hAnsi="宋体" w:cs="宋体"/>
          <w:sz w:val="21"/>
          <w:szCs w:val="21"/>
        </w:rPr>
        <w:t>计票</w:t>
      </w:r>
    </w:p>
    <w:p w14:paraId="5F6D2B3C"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1、现场开会</w:t>
      </w:r>
    </w:p>
    <w:p w14:paraId="7A20795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cs="宋体"/>
          <w:sz w:val="21"/>
          <w:szCs w:val="21"/>
        </w:rPr>
        <w:t>或大会</w:t>
      </w:r>
      <w:proofErr w:type="gramEnd"/>
      <w:r>
        <w:rPr>
          <w:rFonts w:ascii="宋体" w:hAnsi="宋体" w:cs="宋体"/>
          <w:sz w:val="21"/>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ADB983B"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（2）监票人应当在基金份额持有人表决后立即进行清点并由大会主持人当场公布计票</w:t>
      </w:r>
      <w:r>
        <w:rPr>
          <w:rFonts w:ascii="宋体" w:hAnsi="宋体" w:cs="宋体"/>
          <w:sz w:val="21"/>
          <w:szCs w:val="21"/>
        </w:rPr>
        <w:lastRenderedPageBreak/>
        <w:t>结果。</w:t>
      </w:r>
    </w:p>
    <w:p w14:paraId="656BEE11"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（3）如果会议主持人或基金份额持有人或代理人对于提交的表决结果有怀疑，可以在宣布表决结果后立即对所投票</w:t>
      </w:r>
      <w:proofErr w:type="gramStart"/>
      <w:r>
        <w:rPr>
          <w:rFonts w:ascii="宋体" w:hAnsi="宋体" w:cs="宋体"/>
          <w:sz w:val="21"/>
          <w:szCs w:val="21"/>
        </w:rPr>
        <w:t>数要求</w:t>
      </w:r>
      <w:proofErr w:type="gramEnd"/>
      <w:r>
        <w:rPr>
          <w:rFonts w:ascii="宋体" w:hAnsi="宋体" w:cs="宋体"/>
          <w:sz w:val="21"/>
          <w:szCs w:val="21"/>
        </w:rPr>
        <w:t>进行重新清点。监票人应当进行重新清点，重新清点以一次为限。重新清点后，大会主持人应当当场公布重新清点结果。</w:t>
      </w:r>
    </w:p>
    <w:p w14:paraId="7898EBD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（4）计票过程应由公证机关予以公证，基金管理人或基金托管人拒不出席大会的，不影响计票的效力。</w:t>
      </w:r>
    </w:p>
    <w:p w14:paraId="1D9BDBD7"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2、通讯开会</w:t>
      </w:r>
    </w:p>
    <w:p w14:paraId="7F4D8704"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cs="宋体"/>
          <w:sz w:val="21"/>
          <w:szCs w:val="21"/>
        </w:rPr>
        <w:t>人拒派</w:t>
      </w:r>
      <w:proofErr w:type="gramEnd"/>
      <w:r>
        <w:rPr>
          <w:rFonts w:ascii="宋体" w:hAnsi="宋体" w:cs="宋体"/>
          <w:sz w:val="21"/>
          <w:szCs w:val="21"/>
        </w:rPr>
        <w:t>代表对书面表决意见的计票进行监督的，不影响计票和表决结果。</w:t>
      </w:r>
    </w:p>
    <w:p w14:paraId="5C41A25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（八）</w:t>
      </w:r>
      <w:r>
        <w:rPr>
          <w:rFonts w:ascii="宋体" w:hAnsi="宋体" w:cs="宋体"/>
          <w:sz w:val="21"/>
          <w:szCs w:val="21"/>
        </w:rPr>
        <w:t>生效与公告</w:t>
      </w:r>
    </w:p>
    <w:p w14:paraId="5CFD76B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基金份额持有人大会的决议，召集人应当自通过之日起5日内报中国证监会备案。</w:t>
      </w:r>
    </w:p>
    <w:p w14:paraId="02C00A2C"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基金份额持有人大会的决议自表决通过之日起生效。</w:t>
      </w:r>
    </w:p>
    <w:p w14:paraId="1C52FC99"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基金份额持有人大会决议自生效之日起2日内在规定媒介上公告。</w:t>
      </w:r>
    </w:p>
    <w:p w14:paraId="36B13F6B"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基金管理人、基金托管人和基金份额持有人应当执行生效的基金份额持有人大会的决议。生效的基金份额持有人大会决议对全体基金份额持有人、基金管理人、基金托管人均有约束力。</w:t>
      </w:r>
    </w:p>
    <w:p w14:paraId="48DAC170"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（九）</w:t>
      </w:r>
      <w:r>
        <w:rPr>
          <w:rFonts w:ascii="宋体" w:hAnsi="宋体" w:cs="宋体"/>
          <w:sz w:val="21"/>
          <w:szCs w:val="21"/>
        </w:rPr>
        <w:t>实施</w:t>
      </w:r>
      <w:proofErr w:type="gramStart"/>
      <w:r>
        <w:rPr>
          <w:rFonts w:ascii="宋体" w:hAnsi="宋体" w:cs="宋体"/>
          <w:sz w:val="21"/>
          <w:szCs w:val="21"/>
        </w:rPr>
        <w:t>侧袋机制</w:t>
      </w:r>
      <w:proofErr w:type="gramEnd"/>
      <w:r>
        <w:rPr>
          <w:rFonts w:ascii="宋体" w:hAnsi="宋体" w:cs="宋体"/>
          <w:sz w:val="21"/>
          <w:szCs w:val="21"/>
        </w:rPr>
        <w:t>期间基金份额持有人大会的特殊约定</w:t>
      </w:r>
    </w:p>
    <w:p w14:paraId="0B3BD02A"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若本基金</w:t>
      </w:r>
      <w:proofErr w:type="gramStart"/>
      <w:r>
        <w:rPr>
          <w:rFonts w:ascii="宋体" w:hAnsi="宋体" w:cs="宋体"/>
          <w:sz w:val="21"/>
          <w:szCs w:val="21"/>
        </w:rPr>
        <w:t>实施侧袋机制</w:t>
      </w:r>
      <w:proofErr w:type="gramEnd"/>
      <w:r>
        <w:rPr>
          <w:rFonts w:ascii="宋体" w:hAnsi="宋体" w:cs="宋体"/>
          <w:sz w:val="21"/>
          <w:szCs w:val="21"/>
        </w:rPr>
        <w:t>，</w:t>
      </w:r>
      <w:proofErr w:type="gramStart"/>
      <w:r>
        <w:rPr>
          <w:rFonts w:ascii="宋体" w:hAnsi="宋体" w:cs="宋体"/>
          <w:sz w:val="21"/>
          <w:szCs w:val="21"/>
        </w:rPr>
        <w:t>则相</w:t>
      </w:r>
      <w:proofErr w:type="gramEnd"/>
      <w:r>
        <w:rPr>
          <w:rFonts w:ascii="宋体" w:hAnsi="宋体" w:cs="宋体"/>
          <w:sz w:val="21"/>
          <w:szCs w:val="21"/>
        </w:rPr>
        <w:t>关基金份额或表决权的比例</w:t>
      </w:r>
      <w:proofErr w:type="gramStart"/>
      <w:r>
        <w:rPr>
          <w:rFonts w:ascii="宋体" w:hAnsi="宋体" w:cs="宋体"/>
          <w:sz w:val="21"/>
          <w:szCs w:val="21"/>
        </w:rPr>
        <w:t>指主袋份</w:t>
      </w:r>
      <w:proofErr w:type="gramEnd"/>
      <w:r>
        <w:rPr>
          <w:rFonts w:ascii="宋体" w:hAnsi="宋体" w:cs="宋体"/>
          <w:sz w:val="21"/>
          <w:szCs w:val="21"/>
        </w:rPr>
        <w:t>额持有</w:t>
      </w:r>
      <w:proofErr w:type="gramStart"/>
      <w:r>
        <w:rPr>
          <w:rFonts w:ascii="宋体" w:hAnsi="宋体" w:cs="宋体"/>
          <w:sz w:val="21"/>
          <w:szCs w:val="21"/>
        </w:rPr>
        <w:t>人和侧袋份</w:t>
      </w:r>
      <w:proofErr w:type="gramEnd"/>
      <w:r>
        <w:rPr>
          <w:rFonts w:ascii="宋体" w:hAnsi="宋体" w:cs="宋体"/>
          <w:sz w:val="21"/>
          <w:szCs w:val="21"/>
        </w:rPr>
        <w:t>额持有人分别持有或代表的基金份额或表决权符合该等比例，但</w:t>
      </w:r>
      <w:proofErr w:type="gramStart"/>
      <w:r>
        <w:rPr>
          <w:rFonts w:ascii="宋体" w:hAnsi="宋体" w:cs="宋体"/>
          <w:sz w:val="21"/>
          <w:szCs w:val="21"/>
        </w:rPr>
        <w:t>若相</w:t>
      </w:r>
      <w:proofErr w:type="gramEnd"/>
      <w:r>
        <w:rPr>
          <w:rFonts w:ascii="宋体" w:hAnsi="宋体" w:cs="宋体"/>
          <w:sz w:val="21"/>
          <w:szCs w:val="21"/>
        </w:rPr>
        <w:t>关基金份额持有人大会召集和审议事项不</w:t>
      </w:r>
      <w:proofErr w:type="gramStart"/>
      <w:r>
        <w:rPr>
          <w:rFonts w:ascii="宋体" w:hAnsi="宋体" w:cs="宋体"/>
          <w:sz w:val="21"/>
          <w:szCs w:val="21"/>
        </w:rPr>
        <w:t>涉及侧袋账</w:t>
      </w:r>
      <w:proofErr w:type="gramEnd"/>
      <w:r>
        <w:rPr>
          <w:rFonts w:ascii="宋体" w:hAnsi="宋体" w:cs="宋体"/>
          <w:sz w:val="21"/>
          <w:szCs w:val="21"/>
        </w:rPr>
        <w:t>户的，则仅</w:t>
      </w:r>
      <w:proofErr w:type="gramStart"/>
      <w:r>
        <w:rPr>
          <w:rFonts w:ascii="宋体" w:hAnsi="宋体" w:cs="宋体"/>
          <w:sz w:val="21"/>
          <w:szCs w:val="21"/>
        </w:rPr>
        <w:t>指主袋份</w:t>
      </w:r>
      <w:proofErr w:type="gramEnd"/>
      <w:r>
        <w:rPr>
          <w:rFonts w:ascii="宋体" w:hAnsi="宋体" w:cs="宋体"/>
          <w:sz w:val="21"/>
          <w:szCs w:val="21"/>
        </w:rPr>
        <w:t>额持有人持有或代表的基金份额或表决权符合该等比例：</w:t>
      </w:r>
    </w:p>
    <w:p w14:paraId="10AD930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1、基金份额持有人行使提议权、召集权、提名权所需单独或合计代表相关基金份额10%以上（含10%）；</w:t>
      </w:r>
    </w:p>
    <w:p w14:paraId="6DED6C98"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2、现场开会的到会者在权益登记日代表的基金份额不少于本基金在权益登记</w:t>
      </w:r>
      <w:proofErr w:type="gramStart"/>
      <w:r>
        <w:rPr>
          <w:rFonts w:ascii="宋体" w:hAnsi="宋体" w:cs="宋体"/>
          <w:sz w:val="21"/>
          <w:szCs w:val="21"/>
        </w:rPr>
        <w:t>日相关</w:t>
      </w:r>
      <w:proofErr w:type="gramEnd"/>
      <w:r>
        <w:rPr>
          <w:rFonts w:ascii="宋体" w:hAnsi="宋体" w:cs="宋体"/>
          <w:sz w:val="21"/>
          <w:szCs w:val="21"/>
        </w:rPr>
        <w:t>基金份额的二分之一（含二分之一）；</w:t>
      </w:r>
    </w:p>
    <w:p w14:paraId="486BFE40"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3、通讯开会的直接出具书面意见或授权他人代表出具书面意见的基金份额持有人所持有的基金份额不小于在权益登记</w:t>
      </w:r>
      <w:proofErr w:type="gramStart"/>
      <w:r>
        <w:rPr>
          <w:rFonts w:ascii="宋体" w:hAnsi="宋体" w:cs="宋体"/>
          <w:sz w:val="21"/>
          <w:szCs w:val="21"/>
        </w:rPr>
        <w:t>日相关</w:t>
      </w:r>
      <w:proofErr w:type="gramEnd"/>
      <w:r>
        <w:rPr>
          <w:rFonts w:ascii="宋体" w:hAnsi="宋体" w:cs="宋体"/>
          <w:sz w:val="21"/>
          <w:szCs w:val="21"/>
        </w:rPr>
        <w:t>基金份额的二分之一（含二分之一）；</w:t>
      </w:r>
    </w:p>
    <w:p w14:paraId="7205C0FA"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4、在参与基金份额持有人大会投票的基金份额持有人所持有的基金份额小于在权益登记</w:t>
      </w:r>
      <w:proofErr w:type="gramStart"/>
      <w:r>
        <w:rPr>
          <w:rFonts w:ascii="宋体" w:hAnsi="宋体" w:cs="宋体"/>
          <w:sz w:val="21"/>
          <w:szCs w:val="21"/>
        </w:rPr>
        <w:t>日相关</w:t>
      </w:r>
      <w:proofErr w:type="gramEnd"/>
      <w:r>
        <w:rPr>
          <w:rFonts w:ascii="宋体" w:hAnsi="宋体" w:cs="宋体"/>
          <w:sz w:val="21"/>
          <w:szCs w:val="21"/>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61C92DF4"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5、现场开会由出席大会的基金份额持有人和代理人所持表决权的50%以上（含50%）</w:t>
      </w:r>
      <w:r>
        <w:rPr>
          <w:rFonts w:ascii="宋体" w:hAnsi="宋体" w:cs="宋体"/>
          <w:sz w:val="21"/>
          <w:szCs w:val="21"/>
        </w:rPr>
        <w:lastRenderedPageBreak/>
        <w:t>选举产生一名基金份额持有人作为该次基金份额持有人大会的主持人；</w:t>
      </w:r>
    </w:p>
    <w:p w14:paraId="7DF4E2A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6、一般决议须经参加大会的基金份额持有人或其代理人所持表决权的二分之一以上（含二分之一）通过；</w:t>
      </w:r>
    </w:p>
    <w:p w14:paraId="36A7E18F"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7、特别决议应当经参加大会的基金份额持有人或其代理人所持表决权的三分之二以上（含三分之二）通过。</w:t>
      </w:r>
    </w:p>
    <w:p w14:paraId="6184EA1D"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同</w:t>
      </w:r>
      <w:proofErr w:type="gramStart"/>
      <w:r>
        <w:rPr>
          <w:rFonts w:ascii="宋体" w:hAnsi="宋体" w:cs="宋体"/>
          <w:sz w:val="21"/>
          <w:szCs w:val="21"/>
        </w:rPr>
        <w:t>一主侧袋账户</w:t>
      </w:r>
      <w:proofErr w:type="gramEnd"/>
      <w:r>
        <w:rPr>
          <w:rFonts w:ascii="宋体" w:hAnsi="宋体" w:cs="宋体"/>
          <w:sz w:val="21"/>
          <w:szCs w:val="21"/>
        </w:rPr>
        <w:t>内的每份基金份额具有平等的表决权。</w:t>
      </w:r>
    </w:p>
    <w:p w14:paraId="43163918"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（十）</w:t>
      </w:r>
      <w:r>
        <w:rPr>
          <w:rFonts w:ascii="宋体" w:hAnsi="宋体" w:cs="宋体"/>
          <w:sz w:val="21"/>
          <w:szCs w:val="21"/>
        </w:rPr>
        <w:t>本部</w:t>
      </w:r>
      <w:proofErr w:type="gramStart"/>
      <w:r>
        <w:rPr>
          <w:rFonts w:ascii="宋体" w:hAnsi="宋体" w:cs="宋体"/>
          <w:sz w:val="21"/>
          <w:szCs w:val="21"/>
        </w:rPr>
        <w:t>分关于</w:t>
      </w:r>
      <w:proofErr w:type="gramEnd"/>
      <w:r>
        <w:rPr>
          <w:rFonts w:ascii="宋体" w:hAnsi="宋体" w:cs="宋体"/>
          <w:sz w:val="21"/>
          <w:szCs w:val="21"/>
        </w:rPr>
        <w:t>基金份额持有人大会召开事由、召开条件、议事程序、表决条件等规定，凡是直接引用法律法规或监管规则的部分，如将来法律法规或监管规则修改导致相关内容被取消或变更的，基金管理人按照《信息披露办法》的规定公告后，可直接对本部分内容进行修改和调整，无需召开基金份额持有人大会审议。</w:t>
      </w:r>
    </w:p>
    <w:p w14:paraId="4699306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b/>
          <w:bCs/>
          <w:sz w:val="21"/>
          <w:szCs w:val="21"/>
        </w:rPr>
        <w:t>三</w:t>
      </w:r>
      <w:r>
        <w:rPr>
          <w:rFonts w:ascii="宋体" w:hAnsi="宋体" w:cs="宋体"/>
          <w:b/>
          <w:bCs/>
          <w:sz w:val="21"/>
          <w:szCs w:val="21"/>
        </w:rPr>
        <w:t>、基金收益分配原则、执行方式</w:t>
      </w:r>
    </w:p>
    <w:p w14:paraId="7DE29B5B"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（一）</w:t>
      </w:r>
      <w:r>
        <w:rPr>
          <w:rFonts w:ascii="宋体" w:hAnsi="宋体" w:cs="宋体"/>
          <w:sz w:val="21"/>
          <w:szCs w:val="21"/>
        </w:rPr>
        <w:t>基金利润的构成</w:t>
      </w:r>
    </w:p>
    <w:p w14:paraId="796EFE3F"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基金利润指基金利息收入、投资收益、公允价值变动收益和其他收入扣除相关费用后的余额，基金已实现收益指基金利润减去公允价值变动收益后的余额。</w:t>
      </w:r>
    </w:p>
    <w:p w14:paraId="321CB16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（二）</w:t>
      </w:r>
      <w:r>
        <w:rPr>
          <w:rFonts w:ascii="宋体" w:hAnsi="宋体" w:cs="宋体"/>
          <w:sz w:val="21"/>
          <w:szCs w:val="21"/>
        </w:rPr>
        <w:t>基金可供分配利润</w:t>
      </w:r>
    </w:p>
    <w:p w14:paraId="11CE48EF"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基金可供分配利润指截至收益分配基准日基金未分配利润与未分配利润中已实现收益的孰低数。</w:t>
      </w:r>
    </w:p>
    <w:p w14:paraId="31D0B91D"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（三）</w:t>
      </w:r>
      <w:r>
        <w:rPr>
          <w:rFonts w:ascii="宋体" w:hAnsi="宋体" w:cs="宋体"/>
          <w:sz w:val="21"/>
          <w:szCs w:val="21"/>
        </w:rPr>
        <w:t>基金收益分配原则</w:t>
      </w:r>
    </w:p>
    <w:p w14:paraId="2F5A6188"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1、在符合有关基金分红条件的前提下，本基金管理人可以根据实际情况进行收益分配，具体分配方案以公告为准，若《基金合同》生效不满3个月可不进行收益分配；</w:t>
      </w:r>
    </w:p>
    <w:p w14:paraId="395C69A3"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2、本基金收益分配方式分两种：现金分红与红利再投资，投资者可选择现金红利或将现金红利自动转为相应类别的基金份额进行再投资</w:t>
      </w:r>
      <w:r>
        <w:rPr>
          <w:rFonts w:ascii="宋体" w:hAnsi="宋体" w:cs="宋体" w:hint="eastAsia"/>
          <w:sz w:val="21"/>
          <w:szCs w:val="21"/>
        </w:rPr>
        <w:t>，红利再投资的基金份额的最短持有期到期日与</w:t>
      </w:r>
      <w:proofErr w:type="gramStart"/>
      <w:r>
        <w:rPr>
          <w:rFonts w:ascii="宋体" w:hAnsi="宋体" w:cs="宋体" w:hint="eastAsia"/>
          <w:sz w:val="21"/>
          <w:szCs w:val="21"/>
        </w:rPr>
        <w:t>原基金</w:t>
      </w:r>
      <w:proofErr w:type="gramEnd"/>
      <w:r>
        <w:rPr>
          <w:rFonts w:ascii="宋体" w:hAnsi="宋体" w:cs="宋体" w:hint="eastAsia"/>
          <w:sz w:val="21"/>
          <w:szCs w:val="21"/>
        </w:rPr>
        <w:t>份额的最短持有期到期日保持一致</w:t>
      </w:r>
      <w:r>
        <w:rPr>
          <w:rFonts w:ascii="宋体" w:hAnsi="宋体" w:cs="宋体"/>
          <w:sz w:val="21"/>
          <w:szCs w:val="21"/>
        </w:rPr>
        <w:t>；若投资者不选择，本基金默认的收益分配方式是现金分红；</w:t>
      </w:r>
    </w:p>
    <w:p w14:paraId="294D53C7"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3、基金收益分配后任一类基金份额净值不能低于面值，即基金收益分配基准日的任一类基金份额净值减去</w:t>
      </w:r>
      <w:r>
        <w:rPr>
          <w:rFonts w:ascii="宋体" w:hAnsi="宋体" w:cs="宋体" w:hint="eastAsia"/>
          <w:sz w:val="21"/>
          <w:szCs w:val="21"/>
        </w:rPr>
        <w:t>每单位</w:t>
      </w:r>
      <w:r>
        <w:rPr>
          <w:rFonts w:ascii="宋体" w:hAnsi="宋体" w:cs="宋体"/>
          <w:sz w:val="21"/>
          <w:szCs w:val="21"/>
        </w:rPr>
        <w:t>该类基金份额收益分配金额后不能低于面值；</w:t>
      </w:r>
    </w:p>
    <w:p w14:paraId="1693D0AA"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4、A类基金份额和C类基金份额之间由于A类基金份额不收取而C类基金份额收取销售服务费将导致在可供分配利润上有所不同；</w:t>
      </w:r>
    </w:p>
    <w:p w14:paraId="3FB8B54B"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5、同一类别的每一基金份额享有同等分配权；</w:t>
      </w:r>
    </w:p>
    <w:p w14:paraId="2C0FC62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6、法律法规或监管机关另有规定的，从其规定。</w:t>
      </w:r>
    </w:p>
    <w:p w14:paraId="7432949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在不违反法律法规且对基金份额持有人利益无实质</w:t>
      </w:r>
      <w:r>
        <w:rPr>
          <w:rFonts w:ascii="宋体" w:hAnsi="宋体" w:cs="宋体" w:hint="eastAsia"/>
          <w:sz w:val="21"/>
          <w:szCs w:val="21"/>
        </w:rPr>
        <w:t>性</w:t>
      </w:r>
      <w:r>
        <w:rPr>
          <w:rFonts w:ascii="宋体" w:hAnsi="宋体" w:cs="宋体"/>
          <w:sz w:val="21"/>
          <w:szCs w:val="21"/>
        </w:rPr>
        <w:t>不利影响的前提下，基金管理人</w:t>
      </w:r>
      <w:r>
        <w:rPr>
          <w:rFonts w:ascii="宋体" w:hAnsi="宋体" w:cs="宋体" w:hint="eastAsia"/>
          <w:sz w:val="21"/>
          <w:szCs w:val="21"/>
        </w:rPr>
        <w:t>经与基金托管人协商一致后，</w:t>
      </w:r>
      <w:r>
        <w:rPr>
          <w:rFonts w:ascii="宋体" w:hAnsi="宋体" w:cs="宋体"/>
          <w:sz w:val="21"/>
          <w:szCs w:val="21"/>
        </w:rPr>
        <w:t>可调整基金收益分配原则和支付方式，不需召开基金份额持有人大会。</w:t>
      </w:r>
    </w:p>
    <w:p w14:paraId="537A9847"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（四）</w:t>
      </w:r>
      <w:r>
        <w:rPr>
          <w:rFonts w:ascii="宋体" w:hAnsi="宋体" w:cs="宋体"/>
          <w:sz w:val="21"/>
          <w:szCs w:val="21"/>
        </w:rPr>
        <w:t>收益分配方案</w:t>
      </w:r>
    </w:p>
    <w:p w14:paraId="2130C3B9"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lastRenderedPageBreak/>
        <w:t>基金收益分配方案中应载明截止收益分配基准日的可供分配利润、基金收益分配对象、分配时间、分配数额及比例、分配方式等内容。</w:t>
      </w:r>
    </w:p>
    <w:p w14:paraId="66D1413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（五）</w:t>
      </w:r>
      <w:r>
        <w:rPr>
          <w:rFonts w:ascii="宋体" w:hAnsi="宋体" w:cs="宋体"/>
          <w:sz w:val="21"/>
          <w:szCs w:val="21"/>
        </w:rPr>
        <w:t>收益分配方案的确定、公告与实施</w:t>
      </w:r>
    </w:p>
    <w:p w14:paraId="04BF868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本基金收益分配方案由基金管理人拟定，并由基金托管人复核，在2日内在规定媒介公告。</w:t>
      </w:r>
    </w:p>
    <w:p w14:paraId="42983DE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（六）</w:t>
      </w:r>
      <w:r>
        <w:rPr>
          <w:rFonts w:ascii="宋体" w:hAnsi="宋体" w:cs="宋体"/>
          <w:sz w:val="21"/>
          <w:szCs w:val="21"/>
        </w:rPr>
        <w:t>基金收益分配中发生的费用</w:t>
      </w:r>
    </w:p>
    <w:p w14:paraId="658AEF53"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1E0C366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（七）</w:t>
      </w:r>
      <w:r>
        <w:rPr>
          <w:rFonts w:ascii="宋体" w:hAnsi="宋体" w:cs="宋体"/>
          <w:sz w:val="21"/>
          <w:szCs w:val="21"/>
        </w:rPr>
        <w:t>实施</w:t>
      </w:r>
      <w:proofErr w:type="gramStart"/>
      <w:r>
        <w:rPr>
          <w:rFonts w:ascii="宋体" w:hAnsi="宋体" w:cs="宋体"/>
          <w:sz w:val="21"/>
          <w:szCs w:val="21"/>
        </w:rPr>
        <w:t>侧袋机制</w:t>
      </w:r>
      <w:proofErr w:type="gramEnd"/>
      <w:r>
        <w:rPr>
          <w:rFonts w:ascii="宋体" w:hAnsi="宋体" w:cs="宋体"/>
          <w:sz w:val="21"/>
          <w:szCs w:val="21"/>
        </w:rPr>
        <w:t>期间的收益分配</w:t>
      </w:r>
    </w:p>
    <w:p w14:paraId="558F821A"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本基金实施</w:t>
      </w:r>
      <w:proofErr w:type="gramStart"/>
      <w:r>
        <w:rPr>
          <w:rFonts w:ascii="宋体" w:hAnsi="宋体" w:cs="宋体"/>
          <w:sz w:val="21"/>
          <w:szCs w:val="21"/>
        </w:rPr>
        <w:t>侧袋机制</w:t>
      </w:r>
      <w:proofErr w:type="gramEnd"/>
      <w:r>
        <w:rPr>
          <w:rFonts w:ascii="宋体" w:hAnsi="宋体" w:cs="宋体"/>
          <w:sz w:val="21"/>
          <w:szCs w:val="21"/>
        </w:rPr>
        <w:t>的，</w:t>
      </w:r>
      <w:proofErr w:type="gramStart"/>
      <w:r>
        <w:rPr>
          <w:rFonts w:ascii="宋体" w:hAnsi="宋体" w:cs="宋体"/>
          <w:sz w:val="21"/>
          <w:szCs w:val="21"/>
        </w:rPr>
        <w:t>侧袋账</w:t>
      </w:r>
      <w:proofErr w:type="gramEnd"/>
      <w:r>
        <w:rPr>
          <w:rFonts w:ascii="宋体" w:hAnsi="宋体" w:cs="宋体"/>
          <w:sz w:val="21"/>
          <w:szCs w:val="21"/>
        </w:rPr>
        <w:t>户不进行收益分配，详见招募说明书的规定。</w:t>
      </w:r>
    </w:p>
    <w:p w14:paraId="7D7F0F3C"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b/>
          <w:bCs/>
          <w:sz w:val="21"/>
          <w:szCs w:val="21"/>
        </w:rPr>
        <w:t>四</w:t>
      </w:r>
      <w:r>
        <w:rPr>
          <w:rFonts w:ascii="宋体" w:hAnsi="宋体" w:cs="宋体"/>
          <w:b/>
          <w:bCs/>
          <w:sz w:val="21"/>
          <w:szCs w:val="21"/>
        </w:rPr>
        <w:t>、与基金财产管理、运用有关费用的提取、支付方式与比例</w:t>
      </w:r>
    </w:p>
    <w:p w14:paraId="0E78714D"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（一）</w:t>
      </w:r>
      <w:r>
        <w:rPr>
          <w:rFonts w:ascii="宋体" w:hAnsi="宋体" w:cs="宋体"/>
          <w:sz w:val="21"/>
          <w:szCs w:val="21"/>
        </w:rPr>
        <w:t>基金费用的种类</w:t>
      </w:r>
    </w:p>
    <w:p w14:paraId="3D9F5E3B"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1、基金管理人的管理费；</w:t>
      </w:r>
    </w:p>
    <w:p w14:paraId="25EECD4F"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2、基金托管人的托管费；</w:t>
      </w:r>
    </w:p>
    <w:p w14:paraId="55471B4D"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3、基金销售服务费；</w:t>
      </w:r>
    </w:p>
    <w:p w14:paraId="23EF3D61"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4、《基金合同》生效后与基金相关的信息披露费用；</w:t>
      </w:r>
    </w:p>
    <w:p w14:paraId="2C127500"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5、《基金合同》生效后与基金相关的会计师费、律师费、仲裁费、诉讼费</w:t>
      </w:r>
      <w:r>
        <w:rPr>
          <w:rFonts w:ascii="宋体" w:hAnsi="宋体" w:cs="宋体" w:hint="eastAsia"/>
          <w:sz w:val="21"/>
          <w:szCs w:val="21"/>
        </w:rPr>
        <w:t>、</w:t>
      </w:r>
      <w:r>
        <w:rPr>
          <w:rFonts w:ascii="宋体" w:hAnsi="宋体" w:cs="宋体"/>
          <w:sz w:val="21"/>
          <w:szCs w:val="21"/>
        </w:rPr>
        <w:t>公证费；</w:t>
      </w:r>
    </w:p>
    <w:p w14:paraId="5B1F54C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6、基金份额持有人大会费用；</w:t>
      </w:r>
    </w:p>
    <w:p w14:paraId="5C03E640"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7、基金的证券/期货等交易费用；</w:t>
      </w:r>
    </w:p>
    <w:p w14:paraId="1CA5198B"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8、基金的银行汇划费用；</w:t>
      </w:r>
    </w:p>
    <w:p w14:paraId="04D19961"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9、基金相关账户的开户费用及维护费用；</w:t>
      </w:r>
    </w:p>
    <w:p w14:paraId="77F5D45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10、按照国家有关规定和《基金合同》约定，可以在基金财产中列支的其他费用。</w:t>
      </w:r>
    </w:p>
    <w:p w14:paraId="2CDFC6A1"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（二）</w:t>
      </w:r>
      <w:r>
        <w:rPr>
          <w:rFonts w:ascii="宋体" w:hAnsi="宋体" w:cs="宋体"/>
          <w:sz w:val="21"/>
          <w:szCs w:val="21"/>
        </w:rPr>
        <w:t>基金费用计提方法、计提标准和支付方式</w:t>
      </w:r>
    </w:p>
    <w:p w14:paraId="1FD3CACF"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1、基金管理人的管理费</w:t>
      </w:r>
    </w:p>
    <w:p w14:paraId="1B18232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本基金的管理费按前一日基金资产净值的0.30%年费率计提。管理费的计算方法如下：</w:t>
      </w:r>
    </w:p>
    <w:p w14:paraId="080901E9"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H=E×0.30%÷当年天数</w:t>
      </w:r>
    </w:p>
    <w:p w14:paraId="5C9AF559"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H为每日应计提的基金管理费</w:t>
      </w:r>
    </w:p>
    <w:p w14:paraId="3FC34FE4"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E为前一日的基金资产净值</w:t>
      </w:r>
    </w:p>
    <w:p w14:paraId="42DCC1A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基金管理费每日计提，按月支付。由基金托管人根据与基金管理人核对一致的财务数据，自动在月初5</w:t>
      </w:r>
      <w:proofErr w:type="gramStart"/>
      <w:r>
        <w:rPr>
          <w:rFonts w:ascii="宋体" w:hAnsi="宋体" w:cs="宋体" w:hint="eastAsia"/>
          <w:sz w:val="21"/>
          <w:szCs w:val="21"/>
        </w:rPr>
        <w:t>个</w:t>
      </w:r>
      <w:proofErr w:type="gramEnd"/>
      <w:r>
        <w:rPr>
          <w:rFonts w:ascii="宋体" w:hAnsi="宋体" w:cs="宋体" w:hint="eastAsia"/>
          <w:sz w:val="21"/>
          <w:szCs w:val="21"/>
        </w:rPr>
        <w:t>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29FD3B98"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lastRenderedPageBreak/>
        <w:t>2、基金托管人的托管费</w:t>
      </w:r>
    </w:p>
    <w:p w14:paraId="72E40497"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本基金的托管费按前一日基金资产净值的0.10%的年费率计提。托管费的计算方法如下：</w:t>
      </w:r>
    </w:p>
    <w:p w14:paraId="309114E9"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H=E×0.10%÷当年天数</w:t>
      </w:r>
    </w:p>
    <w:p w14:paraId="48DBF274"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H为每日应计提的基金托管费</w:t>
      </w:r>
    </w:p>
    <w:p w14:paraId="38F134B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E为前一日的基金资产净值</w:t>
      </w:r>
    </w:p>
    <w:p w14:paraId="1881266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基金托管费每日计提，按月支付。由基金托管人根据与基金管理人核对一致的财务数据，自动在月初5</w:t>
      </w:r>
      <w:proofErr w:type="gramStart"/>
      <w:r>
        <w:rPr>
          <w:rFonts w:ascii="宋体" w:hAnsi="宋体" w:cs="宋体" w:hint="eastAsia"/>
          <w:sz w:val="21"/>
          <w:szCs w:val="21"/>
        </w:rPr>
        <w:t>个</w:t>
      </w:r>
      <w:proofErr w:type="gramEnd"/>
      <w:r>
        <w:rPr>
          <w:rFonts w:ascii="宋体" w:hAnsi="宋体" w:cs="宋体" w:hint="eastAsia"/>
          <w:sz w:val="21"/>
          <w:szCs w:val="21"/>
        </w:rPr>
        <w:t>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2DAA2A69"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3、销售服务费</w:t>
      </w:r>
    </w:p>
    <w:p w14:paraId="7429C97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本基金A类基金份额不收取销售服务费，C类基金份额的销售服务费年费率为0.20%。本基金销售服务费将专门用于本基金的销售与基金份额持有人服务，基金管理人将在基金年度报告中对该项费用的列支情况作专项说明。销售服务费计提的计算公式如下：</w:t>
      </w:r>
    </w:p>
    <w:p w14:paraId="02220950"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H=E×0.20%÷当年天数</w:t>
      </w:r>
    </w:p>
    <w:p w14:paraId="6ECBEEF1"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H为C类基金份额每日应计提的销售服务费</w:t>
      </w:r>
    </w:p>
    <w:p w14:paraId="209A8C31"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E为C类基金份额前一日的基金资产净值</w:t>
      </w:r>
    </w:p>
    <w:p w14:paraId="044DAC72" w14:textId="48F14B7F" w:rsidR="00437E95" w:rsidRPr="00F476C7" w:rsidRDefault="00437E95" w:rsidP="00437E95">
      <w:pPr>
        <w:widowControl w:val="0"/>
        <w:spacing w:line="360" w:lineRule="auto"/>
        <w:ind w:firstLine="420"/>
        <w:jc w:val="both"/>
        <w:rPr>
          <w:rFonts w:ascii="宋体" w:hAnsi="宋体" w:cs="宋体"/>
          <w:sz w:val="21"/>
          <w:szCs w:val="21"/>
        </w:rPr>
      </w:pPr>
      <w:r w:rsidRPr="00F476C7">
        <w:rPr>
          <w:rFonts w:ascii="宋体" w:hAnsi="宋体" w:cs="宋体" w:hint="eastAsia"/>
          <w:sz w:val="21"/>
          <w:szCs w:val="21"/>
        </w:rPr>
        <w:t>销售服务费每日计提。投资者通过直销机构认购、申购的C类基金份额不收取销售服务费。投资者通过直销机构以外的其他销售机构认购、申购</w:t>
      </w:r>
      <w:r w:rsidR="00131F9B" w:rsidRPr="00A7216A">
        <w:rPr>
          <w:rFonts w:ascii="宋体" w:hAnsi="宋体" w:cs="宋体" w:hint="eastAsia"/>
          <w:sz w:val="21"/>
          <w:szCs w:val="21"/>
        </w:rPr>
        <w:t>且持续持有期限超过一年（即365天</w:t>
      </w:r>
      <w:r w:rsidR="00131F9B">
        <w:rPr>
          <w:rFonts w:ascii="宋体" w:hAnsi="宋体" w:cs="宋体" w:hint="eastAsia"/>
          <w:sz w:val="21"/>
          <w:szCs w:val="21"/>
        </w:rPr>
        <w:t>，下同</w:t>
      </w:r>
      <w:r w:rsidR="00131F9B" w:rsidRPr="00A7216A">
        <w:rPr>
          <w:rFonts w:ascii="宋体" w:hAnsi="宋体" w:cs="宋体" w:hint="eastAsia"/>
          <w:sz w:val="21"/>
          <w:szCs w:val="21"/>
        </w:rPr>
        <w:t>）的</w:t>
      </w:r>
      <w:r w:rsidRPr="00F476C7">
        <w:rPr>
          <w:rFonts w:ascii="宋体" w:hAnsi="宋体" w:cs="宋体" w:hint="eastAsia"/>
          <w:sz w:val="21"/>
          <w:szCs w:val="21"/>
        </w:rPr>
        <w:t>C类基金份额，将不再继续收取销售服务费。本基金C类基金份额实际收取的销售服务费将按以下方式确认：</w:t>
      </w:r>
    </w:p>
    <w:p w14:paraId="32DD41AB" w14:textId="77777777" w:rsidR="00437E95" w:rsidRPr="00F476C7" w:rsidRDefault="00437E95" w:rsidP="00437E95">
      <w:pPr>
        <w:widowControl w:val="0"/>
        <w:spacing w:line="360" w:lineRule="auto"/>
        <w:ind w:firstLine="420"/>
        <w:jc w:val="both"/>
        <w:rPr>
          <w:rFonts w:ascii="宋体" w:hAnsi="宋体" w:cs="宋体"/>
          <w:sz w:val="21"/>
          <w:szCs w:val="21"/>
        </w:rPr>
      </w:pPr>
      <w:r w:rsidRPr="00F476C7">
        <w:rPr>
          <w:rFonts w:ascii="宋体" w:hAnsi="宋体" w:cs="宋体" w:hint="eastAsia"/>
          <w:sz w:val="21"/>
          <w:szCs w:val="21"/>
        </w:rPr>
        <w:t>（1）基金管理人直销机构</w:t>
      </w:r>
    </w:p>
    <w:p w14:paraId="6D2D160F" w14:textId="77777777" w:rsidR="00437E95" w:rsidRPr="00F476C7" w:rsidRDefault="00437E95" w:rsidP="00437E95">
      <w:pPr>
        <w:widowControl w:val="0"/>
        <w:spacing w:line="360" w:lineRule="auto"/>
        <w:ind w:firstLine="420"/>
        <w:jc w:val="both"/>
        <w:rPr>
          <w:rFonts w:ascii="宋体" w:hAnsi="宋体" w:cs="宋体"/>
          <w:sz w:val="21"/>
          <w:szCs w:val="21"/>
        </w:rPr>
      </w:pPr>
      <w:r w:rsidRPr="00F476C7">
        <w:rPr>
          <w:rFonts w:ascii="宋体" w:hAnsi="宋体" w:cs="宋体" w:hint="eastAsia"/>
          <w:sz w:val="21"/>
          <w:szCs w:val="21"/>
        </w:rPr>
        <w:t>投资者通过直销机构认购、申购本基金C类基金份额，将按0.</w:t>
      </w:r>
      <w:r>
        <w:rPr>
          <w:rFonts w:ascii="宋体" w:hAnsi="宋体" w:cs="宋体"/>
          <w:sz w:val="21"/>
          <w:szCs w:val="21"/>
        </w:rPr>
        <w:t>2</w:t>
      </w:r>
      <w:r w:rsidRPr="00F476C7">
        <w:rPr>
          <w:rFonts w:ascii="宋体" w:hAnsi="宋体" w:cs="宋体" w:hint="eastAsia"/>
          <w:sz w:val="21"/>
          <w:szCs w:val="21"/>
        </w:rPr>
        <w:t>0%年费率每日计提销售服务费，但并不实际支付给相关机构。在投资者赎回、转出基金份额或基金合同终止的情形发生时，将持有期间计提的销售服务费返还给投资者。其中，对于赎回业务，返还的销售服务费将作为赎回款项一并划转至投资者账户；对于转出业务，返还的销售服务费将作为转出份额对应的款项一并划转至转入的基金；对于基金合同终止情形，返还的销售服务费将与基金</w:t>
      </w:r>
      <w:proofErr w:type="gramStart"/>
      <w:r w:rsidRPr="00F476C7">
        <w:rPr>
          <w:rFonts w:ascii="宋体" w:hAnsi="宋体" w:cs="宋体" w:hint="eastAsia"/>
          <w:sz w:val="21"/>
          <w:szCs w:val="21"/>
        </w:rPr>
        <w:t>清算款</w:t>
      </w:r>
      <w:proofErr w:type="gramEnd"/>
      <w:r w:rsidRPr="00F476C7">
        <w:rPr>
          <w:rFonts w:ascii="宋体" w:hAnsi="宋体" w:cs="宋体" w:hint="eastAsia"/>
          <w:sz w:val="21"/>
          <w:szCs w:val="21"/>
        </w:rPr>
        <w:t>一并划转至投资者账户。</w:t>
      </w:r>
    </w:p>
    <w:p w14:paraId="75B42E97" w14:textId="77777777" w:rsidR="00437E95" w:rsidRPr="00F476C7" w:rsidRDefault="00437E95" w:rsidP="00437E95">
      <w:pPr>
        <w:widowControl w:val="0"/>
        <w:spacing w:line="360" w:lineRule="auto"/>
        <w:ind w:firstLine="420"/>
        <w:jc w:val="both"/>
        <w:rPr>
          <w:rFonts w:ascii="宋体" w:hAnsi="宋体" w:cs="宋体"/>
          <w:sz w:val="21"/>
          <w:szCs w:val="21"/>
        </w:rPr>
      </w:pPr>
      <w:r w:rsidRPr="00F476C7">
        <w:rPr>
          <w:rFonts w:ascii="宋体" w:hAnsi="宋体" w:cs="宋体" w:hint="eastAsia"/>
          <w:sz w:val="21"/>
          <w:szCs w:val="21"/>
        </w:rPr>
        <w:t>（2）基金管理人直销机构以外的其他销售机构</w:t>
      </w:r>
    </w:p>
    <w:p w14:paraId="6400E8EC" w14:textId="5D0EA8FF" w:rsidR="00855656" w:rsidRDefault="00437E95" w:rsidP="00437E95">
      <w:pPr>
        <w:widowControl w:val="0"/>
        <w:spacing w:line="360" w:lineRule="auto"/>
        <w:ind w:firstLine="420"/>
        <w:jc w:val="both"/>
        <w:rPr>
          <w:rFonts w:ascii="宋体" w:hAnsi="宋体" w:cs="宋体"/>
          <w:sz w:val="21"/>
          <w:szCs w:val="21"/>
        </w:rPr>
      </w:pPr>
      <w:r w:rsidRPr="00F476C7">
        <w:rPr>
          <w:rFonts w:ascii="宋体" w:hAnsi="宋体" w:cs="宋体" w:hint="eastAsia"/>
          <w:sz w:val="21"/>
          <w:szCs w:val="21"/>
        </w:rPr>
        <w:t>投资者通过直销机构以外的其他销售机构认购、申购本基金C类基金份额，将按0.</w:t>
      </w:r>
      <w:r>
        <w:rPr>
          <w:rFonts w:ascii="宋体" w:hAnsi="宋体" w:cs="宋体"/>
          <w:sz w:val="21"/>
          <w:szCs w:val="21"/>
        </w:rPr>
        <w:t>2</w:t>
      </w:r>
      <w:r w:rsidRPr="00F476C7">
        <w:rPr>
          <w:rFonts w:ascii="宋体" w:hAnsi="宋体" w:cs="宋体" w:hint="eastAsia"/>
          <w:sz w:val="21"/>
          <w:szCs w:val="21"/>
        </w:rPr>
        <w:t>0%年费率每日计提销售服务费。对于投资者持续持有期限小于等于一年的C类基金份额收取的销售服务费，按月支付，由基金托管人自动在月初5</w:t>
      </w:r>
      <w:proofErr w:type="gramStart"/>
      <w:r w:rsidRPr="00F476C7">
        <w:rPr>
          <w:rFonts w:ascii="宋体" w:hAnsi="宋体" w:cs="宋体" w:hint="eastAsia"/>
          <w:sz w:val="21"/>
          <w:szCs w:val="21"/>
        </w:rPr>
        <w:t>个</w:t>
      </w:r>
      <w:proofErr w:type="gramEnd"/>
      <w:r w:rsidRPr="00F476C7">
        <w:rPr>
          <w:rFonts w:ascii="宋体" w:hAnsi="宋体" w:cs="宋体" w:hint="eastAsia"/>
          <w:sz w:val="21"/>
          <w:szCs w:val="21"/>
        </w:rPr>
        <w:t>工作日内、按照指定的账户路径进行资金支付，基金管理人无需再出具资金划拨指令。若遇法定节假日、休息日或不可抗力等，支付日期顺延。费用自动扣划后，基金管理人应进行核对，如发现数据不符，及时</w:t>
      </w:r>
      <w:r w:rsidRPr="00F476C7">
        <w:rPr>
          <w:rFonts w:ascii="宋体" w:hAnsi="宋体" w:cs="宋体" w:hint="eastAsia"/>
          <w:sz w:val="21"/>
          <w:szCs w:val="21"/>
        </w:rPr>
        <w:lastRenderedPageBreak/>
        <w:t>联系基金托管人协商解决。对于持续持有期限超过一年的C类基金份额继续计提的销售服务费，并不实际支付给相关机构，将在投资者赎回、转出基金份额或基金合同终止的情形发生时返还给投资者。其中，对于赎回业务，返还的销售服务费将作为赎回款项一并划转至投资者账户；对于转出业务，返还的销售服务费将作为转出份额对应的款项一并划转至转入的基金；对于基金合同终止情形，返还的销售服务费将与基金</w:t>
      </w:r>
      <w:proofErr w:type="gramStart"/>
      <w:r w:rsidRPr="00F476C7">
        <w:rPr>
          <w:rFonts w:ascii="宋体" w:hAnsi="宋体" w:cs="宋体" w:hint="eastAsia"/>
          <w:sz w:val="21"/>
          <w:szCs w:val="21"/>
        </w:rPr>
        <w:t>清算款</w:t>
      </w:r>
      <w:proofErr w:type="gramEnd"/>
      <w:r w:rsidRPr="00F476C7">
        <w:rPr>
          <w:rFonts w:ascii="宋体" w:hAnsi="宋体" w:cs="宋体" w:hint="eastAsia"/>
          <w:sz w:val="21"/>
          <w:szCs w:val="21"/>
        </w:rPr>
        <w:t>一并划转至投资者账户。</w:t>
      </w:r>
    </w:p>
    <w:p w14:paraId="11F49D9F"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上述“</w:t>
      </w:r>
      <w:r>
        <w:rPr>
          <w:rFonts w:ascii="宋体" w:hAnsi="宋体" w:cs="宋体" w:hint="eastAsia"/>
          <w:sz w:val="21"/>
          <w:szCs w:val="21"/>
        </w:rPr>
        <w:t>（一）</w:t>
      </w:r>
      <w:r>
        <w:rPr>
          <w:rFonts w:ascii="宋体" w:hAnsi="宋体" w:cs="宋体"/>
          <w:sz w:val="21"/>
          <w:szCs w:val="21"/>
        </w:rPr>
        <w:t>基金费用的种类”中第4－10项费用，根据有关法规及相应协议规定，按费用实际支出金额列入当期费用，由基金托管人从基金财产中支付。</w:t>
      </w:r>
    </w:p>
    <w:p w14:paraId="704FA83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（三）</w:t>
      </w:r>
      <w:r>
        <w:rPr>
          <w:rFonts w:ascii="宋体" w:hAnsi="宋体" w:cs="宋体"/>
          <w:sz w:val="21"/>
          <w:szCs w:val="21"/>
        </w:rPr>
        <w:t>不列入基金费用的项目</w:t>
      </w:r>
    </w:p>
    <w:p w14:paraId="3AF51C73"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下列费用不列入基金费用：</w:t>
      </w:r>
    </w:p>
    <w:p w14:paraId="685132E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1、基金管理人和基金托管人因未履行或未完全履行义务导致的费用支出或基金财产的损失；</w:t>
      </w:r>
    </w:p>
    <w:p w14:paraId="0E1BB56C"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2、基金管理人和基金托管人处理与基金运作无关的事项发生的费用；</w:t>
      </w:r>
    </w:p>
    <w:p w14:paraId="580BA55B"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3、《基金合同》生效前的相关费用；</w:t>
      </w:r>
    </w:p>
    <w:p w14:paraId="51D38BF1"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4、其他根据相关法律法规及中国证监会的有关规定不得列入基金费用的项目。</w:t>
      </w:r>
    </w:p>
    <w:p w14:paraId="3BAC8E5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（四）</w:t>
      </w:r>
      <w:r>
        <w:rPr>
          <w:rFonts w:ascii="宋体" w:hAnsi="宋体" w:cs="宋体"/>
          <w:sz w:val="21"/>
          <w:szCs w:val="21"/>
        </w:rPr>
        <w:t>实施</w:t>
      </w:r>
      <w:proofErr w:type="gramStart"/>
      <w:r>
        <w:rPr>
          <w:rFonts w:ascii="宋体" w:hAnsi="宋体" w:cs="宋体"/>
          <w:sz w:val="21"/>
          <w:szCs w:val="21"/>
        </w:rPr>
        <w:t>侧袋机制</w:t>
      </w:r>
      <w:proofErr w:type="gramEnd"/>
      <w:r>
        <w:rPr>
          <w:rFonts w:ascii="宋体" w:hAnsi="宋体" w:cs="宋体"/>
          <w:sz w:val="21"/>
          <w:szCs w:val="21"/>
        </w:rPr>
        <w:t>期间的基金费用</w:t>
      </w:r>
    </w:p>
    <w:p w14:paraId="65DE829D"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本基金实施</w:t>
      </w:r>
      <w:proofErr w:type="gramStart"/>
      <w:r>
        <w:rPr>
          <w:rFonts w:ascii="宋体" w:hAnsi="宋体" w:cs="宋体"/>
          <w:sz w:val="21"/>
          <w:szCs w:val="21"/>
        </w:rPr>
        <w:t>侧袋机制</w:t>
      </w:r>
      <w:proofErr w:type="gramEnd"/>
      <w:r>
        <w:rPr>
          <w:rFonts w:ascii="宋体" w:hAnsi="宋体" w:cs="宋体"/>
          <w:sz w:val="21"/>
          <w:szCs w:val="21"/>
        </w:rPr>
        <w:t>的，</w:t>
      </w:r>
      <w:proofErr w:type="gramStart"/>
      <w:r>
        <w:rPr>
          <w:rFonts w:ascii="宋体" w:hAnsi="宋体" w:cs="宋体"/>
          <w:sz w:val="21"/>
          <w:szCs w:val="21"/>
        </w:rPr>
        <w:t>与侧袋账</w:t>
      </w:r>
      <w:proofErr w:type="gramEnd"/>
      <w:r>
        <w:rPr>
          <w:rFonts w:ascii="宋体" w:hAnsi="宋体" w:cs="宋体"/>
          <w:sz w:val="21"/>
          <w:szCs w:val="21"/>
        </w:rPr>
        <w:t>户有关的费用可以</w:t>
      </w:r>
      <w:proofErr w:type="gramStart"/>
      <w:r>
        <w:rPr>
          <w:rFonts w:ascii="宋体" w:hAnsi="宋体" w:cs="宋体"/>
          <w:sz w:val="21"/>
          <w:szCs w:val="21"/>
        </w:rPr>
        <w:t>从侧袋账</w:t>
      </w:r>
      <w:proofErr w:type="gramEnd"/>
      <w:r>
        <w:rPr>
          <w:rFonts w:ascii="宋体" w:hAnsi="宋体" w:cs="宋体"/>
          <w:sz w:val="21"/>
          <w:szCs w:val="21"/>
        </w:rPr>
        <w:t>户中列支，但应</w:t>
      </w:r>
      <w:proofErr w:type="gramStart"/>
      <w:r>
        <w:rPr>
          <w:rFonts w:ascii="宋体" w:hAnsi="宋体" w:cs="宋体"/>
          <w:sz w:val="21"/>
          <w:szCs w:val="21"/>
        </w:rPr>
        <w:t>待侧</w:t>
      </w:r>
      <w:proofErr w:type="gramEnd"/>
      <w:r>
        <w:rPr>
          <w:rFonts w:ascii="宋体" w:hAnsi="宋体" w:cs="宋体"/>
          <w:sz w:val="21"/>
          <w:szCs w:val="21"/>
        </w:rPr>
        <w:t>袋账户资产变现后方可列支，有关费用可酌情收取或减免，但不得收取管理费，详见招募说明书的规定或相关公告。</w:t>
      </w:r>
    </w:p>
    <w:p w14:paraId="2445B267"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（五）</w:t>
      </w:r>
      <w:r>
        <w:rPr>
          <w:rFonts w:ascii="宋体" w:hAnsi="宋体" w:cs="宋体"/>
          <w:sz w:val="21"/>
          <w:szCs w:val="21"/>
        </w:rPr>
        <w:t>基金税收</w:t>
      </w:r>
    </w:p>
    <w:p w14:paraId="20D9EC71"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350686A"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b/>
          <w:bCs/>
          <w:sz w:val="21"/>
          <w:szCs w:val="21"/>
        </w:rPr>
        <w:t>五</w:t>
      </w:r>
      <w:r>
        <w:rPr>
          <w:rFonts w:ascii="宋体" w:hAnsi="宋体" w:cs="宋体"/>
          <w:b/>
          <w:bCs/>
          <w:sz w:val="21"/>
          <w:szCs w:val="21"/>
        </w:rPr>
        <w:t>、基金财产的投资目标、投资范围和投资限制</w:t>
      </w:r>
    </w:p>
    <w:p w14:paraId="1EC2A1A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（一）</w:t>
      </w:r>
      <w:r>
        <w:rPr>
          <w:rFonts w:ascii="宋体" w:hAnsi="宋体" w:cs="宋体"/>
          <w:sz w:val="21"/>
          <w:szCs w:val="21"/>
        </w:rPr>
        <w:t>投资目标</w:t>
      </w:r>
    </w:p>
    <w:p w14:paraId="2BC00970"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在追求基金资产稳定增值、有效控制风险的基础上，通过积极主动的投资管理，力求取得超越基金业绩比较基准的收益。</w:t>
      </w:r>
    </w:p>
    <w:p w14:paraId="0136E70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（二）</w:t>
      </w:r>
      <w:r>
        <w:rPr>
          <w:rFonts w:ascii="宋体" w:hAnsi="宋体" w:cs="宋体"/>
          <w:sz w:val="21"/>
          <w:szCs w:val="21"/>
        </w:rPr>
        <w:t>投资范围</w:t>
      </w:r>
    </w:p>
    <w:p w14:paraId="3248D89F"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本基金的投资范围为具有良好流动性的金融工具，包括债券（含国债、金融债、企业债、公司债、央行票据、政府支持机构债、地方政府债、中期票据、短期融资</w:t>
      </w:r>
      <w:proofErr w:type="gramStart"/>
      <w:r>
        <w:rPr>
          <w:rFonts w:ascii="宋体" w:hAnsi="宋体" w:cs="宋体" w:hint="eastAsia"/>
          <w:sz w:val="21"/>
          <w:szCs w:val="21"/>
        </w:rPr>
        <w:t>券</w:t>
      </w:r>
      <w:proofErr w:type="gramEnd"/>
      <w:r>
        <w:rPr>
          <w:rFonts w:ascii="宋体" w:hAnsi="宋体" w:cs="宋体" w:hint="eastAsia"/>
          <w:sz w:val="21"/>
          <w:szCs w:val="21"/>
        </w:rPr>
        <w:t>、超短期融资券、次级债、可转换债券（</w:t>
      </w:r>
      <w:proofErr w:type="gramStart"/>
      <w:r>
        <w:rPr>
          <w:rFonts w:ascii="宋体" w:hAnsi="宋体" w:cs="宋体" w:hint="eastAsia"/>
          <w:sz w:val="21"/>
          <w:szCs w:val="21"/>
        </w:rPr>
        <w:t>含可分</w:t>
      </w:r>
      <w:proofErr w:type="gramEnd"/>
      <w:r>
        <w:rPr>
          <w:rFonts w:ascii="宋体" w:hAnsi="宋体" w:cs="宋体" w:hint="eastAsia"/>
          <w:sz w:val="21"/>
          <w:szCs w:val="21"/>
        </w:rPr>
        <w:t>离交易可转换债券）、可交换债券及其他中国证监会允许基金投资的债券）、债券回购、银行存款（包括协议存款、定期存款等）、货币市场工具、同业存单、资产支持证券、国债期货以及法律法规或中国证监会允许基金投资的其他金融工具（但须符合中国证监会相关规定）。</w:t>
      </w:r>
    </w:p>
    <w:p w14:paraId="2FAB1BA3"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lastRenderedPageBreak/>
        <w:t>本基金不直接参与股票投资，但因投资于所持有的可转换债券和可交换债券转股形成的股票在其可交易的</w:t>
      </w:r>
      <w:r>
        <w:rPr>
          <w:rFonts w:ascii="宋体" w:hAnsi="宋体" w:cs="宋体"/>
          <w:sz w:val="21"/>
          <w:szCs w:val="21"/>
        </w:rPr>
        <w:t>6</w:t>
      </w:r>
      <w:r>
        <w:rPr>
          <w:rFonts w:ascii="宋体" w:hAnsi="宋体" w:cs="宋体" w:hint="eastAsia"/>
          <w:sz w:val="21"/>
          <w:szCs w:val="21"/>
        </w:rPr>
        <w:t>个月内卖出。</w:t>
      </w:r>
    </w:p>
    <w:p w14:paraId="52501351"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如法律法规或监管机构以后允许基金投资其他品种，基金管理人在履行适当程序后，可以将其纳入投资范围。</w:t>
      </w:r>
    </w:p>
    <w:p w14:paraId="6501FD7A" w14:textId="06AF5178"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基金的投资组合比例为：</w:t>
      </w:r>
      <w:r>
        <w:rPr>
          <w:rFonts w:ascii="宋体" w:hAnsi="宋体" w:cs="宋体" w:hint="eastAsia"/>
          <w:sz w:val="21"/>
          <w:szCs w:val="21"/>
        </w:rPr>
        <w:t>本基金投资于债券资产的比例不低于基金资产的80%；每个交易日日终在扣除国债期货合约需缴纳的交易保证金后，保持不低于基金资产净值5%的现金或者到期日在一年以内的政府债券，其中现金不包括结算备付金、存出保证金、应收申购款等。</w:t>
      </w:r>
    </w:p>
    <w:p w14:paraId="18661AD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如法律法规或中国证监会变更投资品种的投资比例限制，基金管理人在履行适当程序后，可以调整上述投资品种的投资比例。</w:t>
      </w:r>
    </w:p>
    <w:p w14:paraId="201FBA8A"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（三）</w:t>
      </w:r>
      <w:r>
        <w:rPr>
          <w:rFonts w:ascii="宋体" w:hAnsi="宋体" w:cs="宋体"/>
          <w:sz w:val="21"/>
          <w:szCs w:val="21"/>
        </w:rPr>
        <w:t>投资限制</w:t>
      </w:r>
    </w:p>
    <w:p w14:paraId="7C44083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1、组合限制</w:t>
      </w:r>
    </w:p>
    <w:p w14:paraId="58FBF5C7"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基金的投资组合应遵循以下限制：</w:t>
      </w:r>
    </w:p>
    <w:p w14:paraId="5510BE5D"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w:t>
      </w:r>
      <w:r>
        <w:rPr>
          <w:rFonts w:ascii="宋体" w:hAnsi="宋体" w:cs="宋体" w:hint="eastAsia"/>
          <w:sz w:val="21"/>
          <w:szCs w:val="21"/>
        </w:rPr>
        <w:t>本基金投资于债券资产的比例不低于基金资产的80%；</w:t>
      </w:r>
    </w:p>
    <w:p w14:paraId="7E63E54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w:t>
      </w:r>
      <w:r>
        <w:rPr>
          <w:rFonts w:ascii="宋体" w:hAnsi="宋体" w:cs="宋体" w:hint="eastAsia"/>
          <w:sz w:val="21"/>
          <w:szCs w:val="21"/>
        </w:rPr>
        <w:t>每个交易日日终在扣除国债期货合约需缴纳的交易保证金后，保持不低于基金资产净值5%的现金或者到期日在一年以内的政府债券，其中现金不包括结算备付金、存出保证金和应收申购款等；</w:t>
      </w:r>
    </w:p>
    <w:p w14:paraId="595FB96C"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（3）本基金持有一家公司发行的证券，其市值不超过基金资产净值的10%；</w:t>
      </w:r>
    </w:p>
    <w:p w14:paraId="48593BFA"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（4）本基金管理人管理的全部基金持有一家公司发行的证券，不超过该证券的10%，完全按照有关指数的构成比例进行证券投资的基金品种可以不受此条款规定的比例限制；</w:t>
      </w:r>
    </w:p>
    <w:p w14:paraId="225EB433"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（5）本基金投资于同一原始权益人的各类资产支持证券的比例，不得超过基金资产净值的10%；</w:t>
      </w:r>
    </w:p>
    <w:p w14:paraId="2633BBDB"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（6）本基金持有的全部资产支持证券，其市值不得超过基金资产净值的20%，中国证监会规定的特殊品种除外；</w:t>
      </w:r>
    </w:p>
    <w:p w14:paraId="29BA844C"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（7）本基金持有的同一（指同一信用级别）资产支持证券的比例，不得超过该资产支持证券规模的10%；</w:t>
      </w:r>
    </w:p>
    <w:p w14:paraId="737212E0"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（8）本基金管理人管理的全部基金投资于同一原始权益人的各类资产支持证券，不得超过其各类资产支持证券合计规模的10%；</w:t>
      </w:r>
    </w:p>
    <w:p w14:paraId="7A4B0F3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9</w:t>
      </w:r>
      <w:r>
        <w:rPr>
          <w:rFonts w:ascii="宋体" w:hAnsi="宋体" w:cs="宋体" w:hint="eastAsia"/>
          <w:sz w:val="21"/>
          <w:szCs w:val="21"/>
        </w:rPr>
        <w:t xml:space="preserve">）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  </w:t>
      </w:r>
      <w:r>
        <w:rPr>
          <w:rFonts w:ascii="宋体" w:hAnsi="宋体" w:cs="宋体"/>
          <w:sz w:val="21"/>
          <w:szCs w:val="21"/>
        </w:rPr>
        <w:t xml:space="preserve">    </w:t>
      </w:r>
    </w:p>
    <w:p w14:paraId="2C9383ED"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（10）本基金主动投资于流动性受限资产的市值合计不得超过基金资产净值的15%；因证券市场波动、基金规模变动等基金管理人之外的因素致使基金不符合该比例限制的，</w:t>
      </w:r>
      <w:r>
        <w:rPr>
          <w:rFonts w:ascii="宋体" w:hAnsi="宋体" w:cs="宋体"/>
          <w:sz w:val="21"/>
          <w:szCs w:val="21"/>
        </w:rPr>
        <w:lastRenderedPageBreak/>
        <w:t>基金管理人不得主动新增流动性受限资产的投资；</w:t>
      </w:r>
    </w:p>
    <w:p w14:paraId="3238F7EF"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（11）本基金资产总值不超过基金资产净值的140%；</w:t>
      </w:r>
    </w:p>
    <w:p w14:paraId="4E8C67B0"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（12）若本基金参与国债期货交易，应当遵守下列要求：</w:t>
      </w:r>
    </w:p>
    <w:p w14:paraId="7B7298EF"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a.本基金在任何交易日日终，持有的买入国债期货合约价值，不得超过基金资产净值的15%；</w:t>
      </w:r>
    </w:p>
    <w:p w14:paraId="76620C6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b.本基金在任何交易日日终，持有的卖出国债期货合约价值不得超过基金持有的债券总市值的30%；</w:t>
      </w:r>
    </w:p>
    <w:p w14:paraId="2A827D6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c.本基金所持有的债券（不含到期日在一年以内的政府债券）市值和买入、卖出国债期货合约价值，合计（轧差计算）应当符合基金合同关于债券投资比例的有关约定；</w:t>
      </w:r>
    </w:p>
    <w:p w14:paraId="6B116B8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d.本基金在任何交易日内交易（不包括平仓）的国债期货合约的成交金额不得超过上一交易日基金资产净值的30%；</w:t>
      </w:r>
    </w:p>
    <w:p w14:paraId="1656D9BC"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（13）本基金与私募类</w:t>
      </w:r>
      <w:proofErr w:type="gramStart"/>
      <w:r>
        <w:rPr>
          <w:rFonts w:ascii="宋体" w:hAnsi="宋体" w:cs="宋体"/>
          <w:sz w:val="21"/>
          <w:szCs w:val="21"/>
        </w:rPr>
        <w:t>证券资管产品</w:t>
      </w:r>
      <w:proofErr w:type="gramEnd"/>
      <w:r>
        <w:rPr>
          <w:rFonts w:ascii="宋体" w:hAnsi="宋体" w:cs="宋体"/>
          <w:sz w:val="21"/>
          <w:szCs w:val="21"/>
        </w:rPr>
        <w:t>及中国证监会认定的其他主体为交易对手开展逆回购交易的，可接受质押品的资质要求应当与本基金合同约定的投资范围保持一致；</w:t>
      </w:r>
    </w:p>
    <w:p w14:paraId="1CEBC40F"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（14）法律法规及中国证监会规定的和《基金合同》约定的其他投资限制。</w:t>
      </w:r>
    </w:p>
    <w:p w14:paraId="1BCD4739"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除上述第（2）、（10）、（13）项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2D320C08"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74045CD4"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法律法规或监管部门取消或调整上述限制，如适用于本基金，基金管理人在履行适当程序后，则本基金投资不再受相关限制或按调整后的规定执行。</w:t>
      </w:r>
    </w:p>
    <w:p w14:paraId="666A2D9F"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2、禁止行为</w:t>
      </w:r>
    </w:p>
    <w:p w14:paraId="1265094D"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为维护基金份额持有人的合法权益，基金财产不得用于下列投资或者活动：</w:t>
      </w:r>
    </w:p>
    <w:p w14:paraId="49228EF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（1）承销证券；</w:t>
      </w:r>
    </w:p>
    <w:p w14:paraId="4DD351DA"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（2）违反规定向他人贷款或者提供担保；</w:t>
      </w:r>
    </w:p>
    <w:p w14:paraId="3EF7F3E8"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（3）从事承担无限责任的投资；</w:t>
      </w:r>
    </w:p>
    <w:p w14:paraId="4954F1B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（4）买卖其他基金份额，但是中国证监会另有规定的除外；</w:t>
      </w:r>
    </w:p>
    <w:p w14:paraId="5AC9923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（5）向其基金管理人、基金托管人出资；</w:t>
      </w:r>
    </w:p>
    <w:p w14:paraId="01FAD2D9"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（6）从事内幕交易、操纵证券交易价格及其他不正当的证券交易活动；</w:t>
      </w:r>
    </w:p>
    <w:p w14:paraId="0E778F4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（7）法律、行政法规和中国证监会规定禁止的其他活动。</w:t>
      </w:r>
    </w:p>
    <w:p w14:paraId="1BC02C01"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w:t>
      </w:r>
      <w:r>
        <w:rPr>
          <w:rFonts w:ascii="宋体" w:hAnsi="宋体" w:cs="宋体"/>
          <w:sz w:val="21"/>
          <w:szCs w:val="21"/>
        </w:rPr>
        <w:lastRenderedPageBreak/>
        <w:t>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664D5FD"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法律法规或监管部门取消或调整上述禁止性规定，如适用于本基金，基金管理人在履行适当程序后，则本基金投资不再受相关限制或按调整后的规定执行。</w:t>
      </w:r>
    </w:p>
    <w:p w14:paraId="55722A8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b/>
          <w:bCs/>
          <w:sz w:val="21"/>
          <w:szCs w:val="21"/>
        </w:rPr>
        <w:t>六</w:t>
      </w:r>
      <w:r>
        <w:rPr>
          <w:rFonts w:ascii="宋体" w:hAnsi="宋体" w:cs="宋体"/>
          <w:b/>
          <w:bCs/>
          <w:sz w:val="21"/>
          <w:szCs w:val="21"/>
        </w:rPr>
        <w:t>、基金资产净值的计算方法和公告方式</w:t>
      </w:r>
    </w:p>
    <w:p w14:paraId="17D60177"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（一）</w:t>
      </w:r>
      <w:r>
        <w:rPr>
          <w:rFonts w:ascii="宋体" w:hAnsi="宋体" w:cs="宋体"/>
          <w:sz w:val="21"/>
          <w:szCs w:val="21"/>
        </w:rPr>
        <w:t>基金资产净值的计算方法</w:t>
      </w:r>
    </w:p>
    <w:p w14:paraId="0803013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基金资产净值是指基金资产总值减去基金负债后的价值。</w:t>
      </w:r>
    </w:p>
    <w:p w14:paraId="765212F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（二）</w:t>
      </w:r>
      <w:r>
        <w:rPr>
          <w:rFonts w:ascii="宋体" w:hAnsi="宋体" w:cs="宋体"/>
          <w:sz w:val="21"/>
          <w:szCs w:val="21"/>
        </w:rPr>
        <w:t>基金净值信息的公告方式</w:t>
      </w:r>
    </w:p>
    <w:p w14:paraId="45AE56DC"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《基金合同》生效后，在开始办理基金份额申购或者赎回前，基金管理人应当至少每周在规定网站披露一次各类基金份额净值和基金份额累计净值。</w:t>
      </w:r>
    </w:p>
    <w:p w14:paraId="4C471A8D"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在开始办理基金份额申购或者赎回后，基金管理人应当在不晚于每个开放日的次日，通过规定网站、基金销售机构网站或者营业网点披露开放日的各类基金份额净值和基金份额累计净值。</w:t>
      </w:r>
    </w:p>
    <w:p w14:paraId="5ED26AE3"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基金管理人应当在不晚于半年度和年度最后一日的次日，在规定网站披露半年度和年度最后一日的各类基金份额净值和基金份额累计净值。</w:t>
      </w:r>
    </w:p>
    <w:p w14:paraId="495B743C"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b/>
          <w:bCs/>
          <w:sz w:val="21"/>
          <w:szCs w:val="21"/>
        </w:rPr>
        <w:t>七</w:t>
      </w:r>
      <w:r>
        <w:rPr>
          <w:rFonts w:ascii="宋体" w:hAnsi="宋体" w:cs="宋体"/>
          <w:b/>
          <w:bCs/>
          <w:sz w:val="21"/>
          <w:szCs w:val="21"/>
        </w:rPr>
        <w:t>、基金合同变更和终止的事由、程序以及基金财产清算方式</w:t>
      </w:r>
    </w:p>
    <w:p w14:paraId="5486FF9B"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（一）</w:t>
      </w:r>
      <w:r>
        <w:rPr>
          <w:rFonts w:ascii="宋体" w:hAnsi="宋体" w:cs="宋体"/>
          <w:sz w:val="21"/>
          <w:szCs w:val="21"/>
        </w:rPr>
        <w:t>《基金合同》的变更</w:t>
      </w:r>
    </w:p>
    <w:p w14:paraId="5A08C708"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1、变更基金合同涉及法律法规规定或本基金合同约定应经基金份额持有人大会决议通过的事项的，应召</w:t>
      </w:r>
      <w:proofErr w:type="gramStart"/>
      <w:r>
        <w:rPr>
          <w:rFonts w:ascii="宋体" w:hAnsi="宋体" w:cs="宋体"/>
          <w:sz w:val="21"/>
          <w:szCs w:val="21"/>
        </w:rPr>
        <w:t>开基金</w:t>
      </w:r>
      <w:proofErr w:type="gramEnd"/>
      <w:r>
        <w:rPr>
          <w:rFonts w:ascii="宋体" w:hAnsi="宋体" w:cs="宋体"/>
          <w:sz w:val="21"/>
          <w:szCs w:val="21"/>
        </w:rPr>
        <w:t>份额持有人大会决议通过。对于法律法规规定和基金合同约定可不经基金份额持有人大会决议通过的事项，由基金管理人和基金托管人同意后变更并公告。</w:t>
      </w:r>
    </w:p>
    <w:p w14:paraId="1DC86310"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2、关于《基金合同》变更的基金份额持有人大会决议自生效后方可执行，</w:t>
      </w:r>
      <w:proofErr w:type="gramStart"/>
      <w:r>
        <w:rPr>
          <w:rFonts w:ascii="宋体" w:hAnsi="宋体" w:cs="宋体"/>
          <w:sz w:val="21"/>
          <w:szCs w:val="21"/>
        </w:rPr>
        <w:t>自决议</w:t>
      </w:r>
      <w:proofErr w:type="gramEnd"/>
      <w:r>
        <w:rPr>
          <w:rFonts w:ascii="宋体" w:hAnsi="宋体" w:cs="宋体"/>
          <w:sz w:val="21"/>
          <w:szCs w:val="21"/>
        </w:rPr>
        <w:t>生效后两日内在规定媒介公告。</w:t>
      </w:r>
    </w:p>
    <w:p w14:paraId="2B8D1888"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（二）</w:t>
      </w:r>
      <w:r>
        <w:rPr>
          <w:rFonts w:ascii="宋体" w:hAnsi="宋体" w:cs="宋体"/>
          <w:sz w:val="21"/>
          <w:szCs w:val="21"/>
        </w:rPr>
        <w:t>《基金合同》的终止事由</w:t>
      </w:r>
    </w:p>
    <w:p w14:paraId="5EF2EA54"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有下列情形之一的，经履行相关程序后，《基金合同》应当终止：</w:t>
      </w:r>
    </w:p>
    <w:p w14:paraId="281478F3"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1、基金份额持有人大会决定终止的；</w:t>
      </w:r>
    </w:p>
    <w:p w14:paraId="3470D35A"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2、基金管理人、基金托管人职责终止，在6个月内没有新基金管理人、新基金托管人承接的；</w:t>
      </w:r>
    </w:p>
    <w:p w14:paraId="6768EBB3"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w:t>
      </w:r>
      <w:r>
        <w:rPr>
          <w:rFonts w:ascii="宋体" w:hAnsi="宋体" w:cs="宋体" w:hint="eastAsia"/>
          <w:sz w:val="21"/>
          <w:szCs w:val="21"/>
        </w:rPr>
        <w:t>连续50个工作日出现基金份额持有人数量不满200人或者基金资产净值低于5000万元情形的；</w:t>
      </w:r>
    </w:p>
    <w:p w14:paraId="3F272139"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4、</w:t>
      </w:r>
      <w:r>
        <w:rPr>
          <w:rFonts w:ascii="宋体" w:hAnsi="宋体" w:cs="宋体"/>
          <w:sz w:val="21"/>
          <w:szCs w:val="21"/>
        </w:rPr>
        <w:t>《基金合同》约定的其他情形；</w:t>
      </w:r>
    </w:p>
    <w:p w14:paraId="5B325076"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5、相关法律法规和中国证监会规定的其他情况。</w:t>
      </w:r>
    </w:p>
    <w:p w14:paraId="3445A705"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（三）</w:t>
      </w:r>
      <w:r>
        <w:rPr>
          <w:rFonts w:ascii="宋体" w:hAnsi="宋体" w:cs="宋体"/>
          <w:sz w:val="21"/>
          <w:szCs w:val="21"/>
        </w:rPr>
        <w:t>基金财产的清算</w:t>
      </w:r>
    </w:p>
    <w:p w14:paraId="6F2530B9"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lastRenderedPageBreak/>
        <w:t>1、基金财产清算小组：自出现《基金合同》终止事由之日起30个工作日内成立基金财产清算小组，基金管理人组织基金财产清算小组并在中国证监会的监督下进行基金清算。</w:t>
      </w:r>
    </w:p>
    <w:p w14:paraId="00CB151C"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2、基金财产清算小组组成：基金财产清算小组成员由基金管理人、基金托管人、注册会计师、律师以及中国证监会指定的人员组成。基金财产清算小组可以聘用必要的工作人员。</w:t>
      </w:r>
    </w:p>
    <w:p w14:paraId="09F575D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3、基金财产清算小组职责：基金财产清算小组负责基金财产的保管、清理、估价、变现和分配。基金财产清算小组可以依法进行必要的民事活动。</w:t>
      </w:r>
    </w:p>
    <w:p w14:paraId="28B77CF3"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4、基金财产清算程序：</w:t>
      </w:r>
    </w:p>
    <w:p w14:paraId="22413734"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（1）《基金合同》终止情形出现</w:t>
      </w:r>
      <w:proofErr w:type="gramStart"/>
      <w:r>
        <w:rPr>
          <w:rFonts w:ascii="宋体" w:hAnsi="宋体" w:cs="宋体"/>
          <w:sz w:val="21"/>
          <w:szCs w:val="21"/>
        </w:rPr>
        <w:t>且基金</w:t>
      </w:r>
      <w:proofErr w:type="gramEnd"/>
      <w:r>
        <w:rPr>
          <w:rFonts w:ascii="宋体" w:hAnsi="宋体" w:cs="宋体"/>
          <w:sz w:val="21"/>
          <w:szCs w:val="21"/>
        </w:rPr>
        <w:t>财产清算小组成立后，由基金财产清算小组统一接管基金；</w:t>
      </w:r>
    </w:p>
    <w:p w14:paraId="3AEF9B9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（2）对基金财产和债权债务进行清理和确认；</w:t>
      </w:r>
    </w:p>
    <w:p w14:paraId="153011C9"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（3）对基金财产进行估值和变现；</w:t>
      </w:r>
    </w:p>
    <w:p w14:paraId="702710CD"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（4）制作清算报告；</w:t>
      </w:r>
    </w:p>
    <w:p w14:paraId="25BC7EF0"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（5）聘请会计师事务所对清算报告进行外部审计，聘请律师事务所对清算报告出具法律意见书；</w:t>
      </w:r>
    </w:p>
    <w:p w14:paraId="4B5E7768"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（6）将清算报告报中国证监会备案并公告；</w:t>
      </w:r>
    </w:p>
    <w:p w14:paraId="0217AFCB"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（7）对基金剩余财产进行分配。</w:t>
      </w:r>
    </w:p>
    <w:p w14:paraId="61BFBE82"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5、基金财产清算的期限为6个月，但因本基金所持证券的流动性受到限制而不能及时变现的，清算期限相应顺延。</w:t>
      </w:r>
    </w:p>
    <w:p w14:paraId="13FC712D"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（四）</w:t>
      </w:r>
      <w:r>
        <w:rPr>
          <w:rFonts w:ascii="宋体" w:hAnsi="宋体" w:cs="宋体"/>
          <w:sz w:val="21"/>
          <w:szCs w:val="21"/>
        </w:rPr>
        <w:t>清算费用</w:t>
      </w:r>
    </w:p>
    <w:p w14:paraId="568E7DB3"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清算费用是指基金财产清算小组在进行基金财产清算过程中发生的所有合理费用，清算费用由基金财产清算小组优先从基金剩余财产中支付。</w:t>
      </w:r>
    </w:p>
    <w:p w14:paraId="33791844"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（五）</w:t>
      </w:r>
      <w:r>
        <w:rPr>
          <w:rFonts w:ascii="宋体" w:hAnsi="宋体" w:cs="宋体"/>
          <w:sz w:val="21"/>
          <w:szCs w:val="21"/>
        </w:rPr>
        <w:t>基金财产清算剩余资产的分配</w:t>
      </w:r>
    </w:p>
    <w:p w14:paraId="5224D34F" w14:textId="77777777" w:rsidR="00324B01" w:rsidRDefault="00855656" w:rsidP="00324B01">
      <w:pPr>
        <w:widowControl w:val="0"/>
        <w:spacing w:line="360" w:lineRule="auto"/>
        <w:ind w:firstLine="420"/>
        <w:jc w:val="both"/>
        <w:rPr>
          <w:rFonts w:ascii="宋体" w:hAnsi="宋体" w:cs="宋体"/>
          <w:sz w:val="21"/>
          <w:szCs w:val="21"/>
        </w:rPr>
      </w:pPr>
      <w:r>
        <w:rPr>
          <w:rFonts w:ascii="宋体" w:hAnsi="宋体" w:cs="宋体"/>
          <w:sz w:val="21"/>
          <w:szCs w:val="21"/>
        </w:rPr>
        <w:t>依据基金财产清算的分配方案，将基金财产清算后的全部剩余资产扣除基金财产清算费用、交纳所欠税款并清偿基金债务后，按基金份额持有人持有的</w:t>
      </w:r>
      <w:r>
        <w:rPr>
          <w:rFonts w:ascii="宋体" w:hAnsi="宋体" w:cs="宋体" w:hint="eastAsia"/>
          <w:sz w:val="21"/>
          <w:szCs w:val="21"/>
        </w:rPr>
        <w:t>各类</w:t>
      </w:r>
      <w:r>
        <w:rPr>
          <w:rFonts w:ascii="宋体" w:hAnsi="宋体" w:cs="宋体"/>
          <w:sz w:val="21"/>
          <w:szCs w:val="21"/>
        </w:rPr>
        <w:t>基金份额比例进行分配。</w:t>
      </w:r>
    </w:p>
    <w:p w14:paraId="147ADAAF"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（六）</w:t>
      </w:r>
      <w:r>
        <w:rPr>
          <w:rFonts w:ascii="宋体" w:hAnsi="宋体" w:cs="宋体"/>
          <w:sz w:val="21"/>
          <w:szCs w:val="21"/>
        </w:rPr>
        <w:t>基金财产清算的公告</w:t>
      </w:r>
    </w:p>
    <w:p w14:paraId="48241F6D"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清算过程中的有关重大事项须及时公告；基金财产清算报告</w:t>
      </w:r>
      <w:proofErr w:type="gramStart"/>
      <w:r>
        <w:rPr>
          <w:rFonts w:ascii="宋体" w:hAnsi="宋体" w:cs="宋体"/>
          <w:sz w:val="21"/>
          <w:szCs w:val="21"/>
        </w:rPr>
        <w:t>经符合</w:t>
      </w:r>
      <w:proofErr w:type="gramEnd"/>
      <w:r>
        <w:rPr>
          <w:rFonts w:ascii="宋体" w:hAnsi="宋体" w:cs="宋体"/>
          <w:sz w:val="21"/>
          <w:szCs w:val="21"/>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2CD666C0"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hint="eastAsia"/>
          <w:sz w:val="21"/>
          <w:szCs w:val="21"/>
        </w:rPr>
        <w:t>（七）</w:t>
      </w:r>
      <w:r>
        <w:rPr>
          <w:rFonts w:ascii="宋体" w:hAnsi="宋体" w:cs="宋体"/>
          <w:sz w:val="21"/>
          <w:szCs w:val="21"/>
        </w:rPr>
        <w:t>基金财产清算账册及文件的保存</w:t>
      </w:r>
    </w:p>
    <w:p w14:paraId="38309889"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sz w:val="21"/>
          <w:szCs w:val="21"/>
        </w:rPr>
        <w:t>基金财产清算账册及有关文件由基金托管人保存，保存期限</w:t>
      </w:r>
      <w:r>
        <w:rPr>
          <w:rFonts w:ascii="宋体" w:hAnsi="宋体" w:cs="宋体" w:hint="eastAsia"/>
          <w:sz w:val="21"/>
          <w:szCs w:val="21"/>
        </w:rPr>
        <w:t>不少于法律法规的规定</w:t>
      </w:r>
      <w:r>
        <w:rPr>
          <w:rFonts w:ascii="宋体" w:hAnsi="宋体" w:cs="宋体"/>
          <w:sz w:val="21"/>
          <w:szCs w:val="21"/>
        </w:rPr>
        <w:t>。</w:t>
      </w:r>
    </w:p>
    <w:p w14:paraId="3B588FDE"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b/>
          <w:bCs/>
          <w:sz w:val="21"/>
          <w:szCs w:val="21"/>
        </w:rPr>
        <w:lastRenderedPageBreak/>
        <w:t>八、争议解决方式</w:t>
      </w:r>
    </w:p>
    <w:p w14:paraId="4F941828" w14:textId="77777777" w:rsidR="00855656" w:rsidRPr="005465D2" w:rsidRDefault="00855656" w:rsidP="00855656">
      <w:pPr>
        <w:widowControl w:val="0"/>
        <w:spacing w:line="360" w:lineRule="auto"/>
        <w:ind w:firstLine="420"/>
        <w:jc w:val="both"/>
        <w:rPr>
          <w:rFonts w:ascii="宋体" w:hAnsi="宋体" w:cs="宋体"/>
          <w:sz w:val="21"/>
          <w:szCs w:val="21"/>
        </w:rPr>
      </w:pPr>
      <w:r w:rsidRPr="005465D2">
        <w:rPr>
          <w:rFonts w:ascii="宋体" w:hAnsi="宋体" w:cs="宋体" w:hint="eastAsia"/>
          <w:sz w:val="21"/>
          <w:szCs w:val="21"/>
        </w:rPr>
        <w:t>各方当事人同意，因《基金合同》而产生的或与《基金合同》有关的一切争议，如经友好协商未能解决的，应将争议提交中国国际经济贸易仲裁委员会，按照中国国际经济贸易仲裁委员会届时有效的仲裁规则进行仲裁。仲裁地点为北京市。仲裁裁决是终局的，对各方当事人均有约束力。除非仲裁裁决另有裁定，仲裁费用由败诉方承担。</w:t>
      </w:r>
    </w:p>
    <w:p w14:paraId="7F6F8E92" w14:textId="77777777" w:rsidR="00855656" w:rsidRPr="005465D2" w:rsidRDefault="00855656" w:rsidP="00855656">
      <w:pPr>
        <w:widowControl w:val="0"/>
        <w:spacing w:line="360" w:lineRule="auto"/>
        <w:ind w:firstLine="420"/>
        <w:jc w:val="both"/>
        <w:rPr>
          <w:rFonts w:ascii="宋体" w:hAnsi="宋体" w:cs="宋体"/>
          <w:sz w:val="21"/>
          <w:szCs w:val="21"/>
        </w:rPr>
      </w:pPr>
      <w:r w:rsidRPr="005465D2">
        <w:rPr>
          <w:rFonts w:ascii="宋体" w:hAnsi="宋体" w:cs="宋体" w:hint="eastAsia"/>
          <w:sz w:val="21"/>
          <w:szCs w:val="21"/>
        </w:rPr>
        <w:t>争议处理期间，基金合同当事人应恪守各自的职责，继续忠实、勤勉、尽责地履行基金合同规定的义务，维护基金份额持有人的合法权益。</w:t>
      </w:r>
    </w:p>
    <w:p w14:paraId="75BD6149" w14:textId="77777777" w:rsidR="00855656" w:rsidRDefault="00855656" w:rsidP="00855656">
      <w:pPr>
        <w:widowControl w:val="0"/>
        <w:spacing w:line="360" w:lineRule="auto"/>
        <w:ind w:firstLine="420"/>
        <w:jc w:val="both"/>
        <w:rPr>
          <w:rFonts w:ascii="宋体" w:hAnsi="宋体" w:cs="宋体"/>
          <w:sz w:val="21"/>
          <w:szCs w:val="21"/>
        </w:rPr>
      </w:pPr>
      <w:r w:rsidRPr="005465D2">
        <w:rPr>
          <w:rFonts w:ascii="宋体" w:hAnsi="宋体" w:cs="宋体" w:hint="eastAsia"/>
          <w:sz w:val="21"/>
          <w:szCs w:val="21"/>
        </w:rPr>
        <w:t>《基金合同》受中国法律（为本基金合同之目的，不包括香港特别行政区、澳门特别行政区和台湾地区法律）管辖。</w:t>
      </w:r>
    </w:p>
    <w:p w14:paraId="7D4A1D3C" w14:textId="77777777" w:rsidR="00855656" w:rsidRDefault="00855656" w:rsidP="00855656">
      <w:pPr>
        <w:widowControl w:val="0"/>
        <w:spacing w:line="360" w:lineRule="auto"/>
        <w:ind w:firstLine="420"/>
        <w:jc w:val="both"/>
        <w:rPr>
          <w:rFonts w:ascii="宋体" w:hAnsi="宋体" w:cs="宋体"/>
          <w:sz w:val="21"/>
          <w:szCs w:val="21"/>
        </w:rPr>
      </w:pPr>
      <w:r>
        <w:rPr>
          <w:rFonts w:ascii="宋体" w:hAnsi="宋体" w:cs="宋体"/>
          <w:b/>
          <w:bCs/>
          <w:sz w:val="21"/>
          <w:szCs w:val="21"/>
        </w:rPr>
        <w:t>九、基金合同存放地和投资者取得基金合同的方式</w:t>
      </w:r>
    </w:p>
    <w:p w14:paraId="0885D1F0" w14:textId="63D619F4" w:rsidR="00401986" w:rsidRDefault="00855656">
      <w:pPr>
        <w:widowControl w:val="0"/>
        <w:spacing w:line="360" w:lineRule="auto"/>
        <w:ind w:firstLine="420"/>
        <w:jc w:val="both"/>
        <w:rPr>
          <w:rFonts w:ascii="宋体" w:hAnsi="宋体" w:cs="宋体"/>
          <w:sz w:val="21"/>
          <w:szCs w:val="21"/>
        </w:rPr>
      </w:pPr>
      <w:r>
        <w:rPr>
          <w:rFonts w:ascii="宋体" w:hAnsi="宋体" w:cs="宋体" w:hint="eastAsia"/>
          <w:sz w:val="21"/>
          <w:szCs w:val="21"/>
        </w:rPr>
        <w:t>《基金合同》可印制成册，供投资者在基金管理人、基金托管人、销售机构的办公场所和营业场所查阅</w:t>
      </w:r>
      <w:r>
        <w:rPr>
          <w:rFonts w:ascii="宋体" w:hAnsi="宋体" w:cs="宋体"/>
          <w:sz w:val="21"/>
          <w:szCs w:val="21"/>
        </w:rPr>
        <w:t>。</w:t>
      </w:r>
    </w:p>
    <w:p w14:paraId="10D3993D" w14:textId="77777777" w:rsidR="00401986" w:rsidRDefault="00401986"/>
    <w:p w14:paraId="20AA83B7" w14:textId="77777777" w:rsidR="00401986" w:rsidRDefault="00B137D7">
      <w:r>
        <w:br w:type="page"/>
      </w:r>
    </w:p>
    <w:p w14:paraId="1A8C7836" w14:textId="77777777" w:rsidR="00401986" w:rsidRDefault="00401986">
      <w:pPr>
        <w:spacing w:line="360" w:lineRule="auto"/>
      </w:pPr>
    </w:p>
    <w:sectPr w:rsidR="00401986">
      <w:headerReference w:type="default" r:id="rId8"/>
      <w:footerReference w:type="defaul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C7325" w14:textId="77777777" w:rsidR="00587757" w:rsidRDefault="00587757">
      <w:r>
        <w:separator/>
      </w:r>
    </w:p>
  </w:endnote>
  <w:endnote w:type="continuationSeparator" w:id="0">
    <w:p w14:paraId="0DC570C2" w14:textId="77777777" w:rsidR="00587757" w:rsidRDefault="0058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479F1" w14:textId="65E3899E" w:rsidR="005156CB" w:rsidRDefault="005156CB">
    <w:pPr>
      <w:jc w:val="center"/>
    </w:pPr>
    <w:r>
      <w:rPr>
        <w:rFonts w:ascii="宋体" w:hAnsi="宋体" w:cs="宋体"/>
        <w:sz w:val="18"/>
      </w:rPr>
      <w:fldChar w:fldCharType="begin"/>
    </w:r>
    <w:r>
      <w:rPr>
        <w:rFonts w:ascii="宋体" w:hAnsi="宋体" w:cs="宋体"/>
        <w:sz w:val="18"/>
      </w:rPr>
      <w:instrText xml:space="preserve"> PAGE </w:instrText>
    </w:r>
    <w:r>
      <w:rPr>
        <w:rFonts w:ascii="宋体" w:hAnsi="宋体" w:cs="宋体"/>
        <w:sz w:val="18"/>
      </w:rPr>
      <w:fldChar w:fldCharType="separate"/>
    </w:r>
    <w:r w:rsidR="00131F9B">
      <w:rPr>
        <w:rFonts w:ascii="宋体" w:hAnsi="宋体" w:cs="宋体"/>
        <w:noProof/>
        <w:sz w:val="18"/>
      </w:rPr>
      <w:t>62</w:t>
    </w:r>
    <w:r>
      <w:rPr>
        <w:rFonts w:ascii="宋体" w:hAnsi="宋体" w:cs="宋体"/>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DDAC6" w14:textId="77777777" w:rsidR="00587757" w:rsidRDefault="00587757">
      <w:r>
        <w:separator/>
      </w:r>
    </w:p>
  </w:footnote>
  <w:footnote w:type="continuationSeparator" w:id="0">
    <w:p w14:paraId="339556E5" w14:textId="77777777" w:rsidR="00587757" w:rsidRDefault="00587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B997" w14:textId="1D82698D" w:rsidR="005156CB" w:rsidRDefault="005156CB">
    <w:pPr>
      <w:widowControl w:val="0"/>
      <w:pBdr>
        <w:bottom w:val="single" w:sz="6" w:space="0" w:color="DDDDDD"/>
      </w:pBdr>
      <w:tabs>
        <w:tab w:val="right" w:pos="8640"/>
      </w:tabs>
      <w:jc w:val="both"/>
      <w:rPr>
        <w:rFonts w:ascii="宋体" w:hAnsi="宋体" w:cs="宋体"/>
        <w:sz w:val="18"/>
        <w:szCs w:val="18"/>
      </w:rPr>
    </w:pPr>
    <w:r>
      <w:rPr>
        <w:rFonts w:ascii="宋体" w:hAnsi="宋体" w:cs="宋体"/>
        <w:noProof/>
        <w:sz w:val="18"/>
        <w:szCs w:val="18"/>
      </w:rPr>
      <w:drawing>
        <wp:inline distT="0" distB="0" distL="0" distR="0" wp14:anchorId="6F42E439" wp14:editId="743A6128">
          <wp:extent cx="1905000" cy="175260"/>
          <wp:effectExtent l="0" t="0" r="0" b="0"/>
          <wp:docPr id="2" name="图片 2" descr="信纸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信纸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05000" cy="175260"/>
                  </a:xfrm>
                  <a:prstGeom prst="rect">
                    <a:avLst/>
                  </a:prstGeom>
                  <a:noFill/>
                  <a:ln>
                    <a:noFill/>
                  </a:ln>
                </pic:spPr>
              </pic:pic>
            </a:graphicData>
          </a:graphic>
        </wp:inline>
      </w:drawing>
    </w:r>
    <w:r>
      <w:rPr>
        <w:rFonts w:ascii="宋体" w:hAnsi="宋体" w:cs="宋体"/>
        <w:sz w:val="18"/>
        <w:szCs w:val="18"/>
      </w:rPr>
      <w:tab/>
      <w:t>鹏华</w:t>
    </w:r>
    <w:r>
      <w:rPr>
        <w:rFonts w:ascii="宋体" w:hAnsi="宋体" w:cs="宋体" w:hint="eastAsia"/>
        <w:sz w:val="18"/>
        <w:szCs w:val="18"/>
      </w:rPr>
      <w:t>添鑫90天</w:t>
    </w:r>
    <w:r>
      <w:rPr>
        <w:rFonts w:ascii="宋体" w:hAnsi="宋体" w:cs="宋体"/>
        <w:sz w:val="18"/>
        <w:szCs w:val="18"/>
      </w:rPr>
      <w:t>持有期债券型证券投资</w:t>
    </w:r>
    <w:proofErr w:type="gramStart"/>
    <w:r>
      <w:rPr>
        <w:rFonts w:ascii="宋体" w:hAnsi="宋体" w:cs="宋体"/>
        <w:sz w:val="18"/>
        <w:szCs w:val="18"/>
      </w:rPr>
      <w:t>基金基金</w:t>
    </w:r>
    <w:proofErr w:type="gramEnd"/>
    <w:r>
      <w:rPr>
        <w:rFonts w:ascii="宋体" w:hAnsi="宋体" w:cs="宋体"/>
        <w:sz w:val="18"/>
        <w:szCs w:val="18"/>
      </w:rPr>
      <w:t>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U0ZDhkN2RhYWIzNTI3N2IwOTZmMjBmMGM2MDgyNDcifQ=="/>
  </w:docVars>
  <w:rsids>
    <w:rsidRoot w:val="00A77B3E"/>
    <w:rsid w:val="00000024"/>
    <w:rsid w:val="00000733"/>
    <w:rsid w:val="000030C0"/>
    <w:rsid w:val="000030C3"/>
    <w:rsid w:val="00017933"/>
    <w:rsid w:val="00021768"/>
    <w:rsid w:val="00033E10"/>
    <w:rsid w:val="000413EA"/>
    <w:rsid w:val="00042170"/>
    <w:rsid w:val="00042279"/>
    <w:rsid w:val="000427A3"/>
    <w:rsid w:val="00043472"/>
    <w:rsid w:val="000475AC"/>
    <w:rsid w:val="00066BC8"/>
    <w:rsid w:val="00070AAB"/>
    <w:rsid w:val="000761BD"/>
    <w:rsid w:val="000862F2"/>
    <w:rsid w:val="00096FB6"/>
    <w:rsid w:val="000A799D"/>
    <w:rsid w:val="000A7B5B"/>
    <w:rsid w:val="000B2EAF"/>
    <w:rsid w:val="000B5D37"/>
    <w:rsid w:val="000C000E"/>
    <w:rsid w:val="000C1EA2"/>
    <w:rsid w:val="000C3320"/>
    <w:rsid w:val="000C697A"/>
    <w:rsid w:val="000D403B"/>
    <w:rsid w:val="000D481C"/>
    <w:rsid w:val="000E1B03"/>
    <w:rsid w:val="000E5B97"/>
    <w:rsid w:val="000F2FA0"/>
    <w:rsid w:val="000F426C"/>
    <w:rsid w:val="000F61CB"/>
    <w:rsid w:val="000F72EB"/>
    <w:rsid w:val="001148D2"/>
    <w:rsid w:val="001207CD"/>
    <w:rsid w:val="00124758"/>
    <w:rsid w:val="00125276"/>
    <w:rsid w:val="001260FB"/>
    <w:rsid w:val="00126DE2"/>
    <w:rsid w:val="0013066E"/>
    <w:rsid w:val="00131F9B"/>
    <w:rsid w:val="00134B42"/>
    <w:rsid w:val="00136955"/>
    <w:rsid w:val="00142A0E"/>
    <w:rsid w:val="00143405"/>
    <w:rsid w:val="00144ED6"/>
    <w:rsid w:val="001474A0"/>
    <w:rsid w:val="001503D6"/>
    <w:rsid w:val="001527ED"/>
    <w:rsid w:val="0016135F"/>
    <w:rsid w:val="00161F6C"/>
    <w:rsid w:val="001806C1"/>
    <w:rsid w:val="001838CC"/>
    <w:rsid w:val="00184420"/>
    <w:rsid w:val="00187F31"/>
    <w:rsid w:val="001A3926"/>
    <w:rsid w:val="001B5EB4"/>
    <w:rsid w:val="001C37A0"/>
    <w:rsid w:val="001C492F"/>
    <w:rsid w:val="001E2E31"/>
    <w:rsid w:val="001F59EC"/>
    <w:rsid w:val="0021255B"/>
    <w:rsid w:val="00215E92"/>
    <w:rsid w:val="00221506"/>
    <w:rsid w:val="00225CC5"/>
    <w:rsid w:val="00230278"/>
    <w:rsid w:val="002410A7"/>
    <w:rsid w:val="00251075"/>
    <w:rsid w:val="0025550E"/>
    <w:rsid w:val="00282588"/>
    <w:rsid w:val="00294E80"/>
    <w:rsid w:val="00294FF8"/>
    <w:rsid w:val="00295437"/>
    <w:rsid w:val="00296781"/>
    <w:rsid w:val="002A3A6C"/>
    <w:rsid w:val="002A67CC"/>
    <w:rsid w:val="002A6AA7"/>
    <w:rsid w:val="002B2C83"/>
    <w:rsid w:val="002B4A39"/>
    <w:rsid w:val="002B631C"/>
    <w:rsid w:val="002C5E6A"/>
    <w:rsid w:val="002D2896"/>
    <w:rsid w:val="002D3906"/>
    <w:rsid w:val="002E510B"/>
    <w:rsid w:val="002E548A"/>
    <w:rsid w:val="002F7B84"/>
    <w:rsid w:val="0030156B"/>
    <w:rsid w:val="00302D17"/>
    <w:rsid w:val="003055BA"/>
    <w:rsid w:val="00316DED"/>
    <w:rsid w:val="0032146B"/>
    <w:rsid w:val="00323D00"/>
    <w:rsid w:val="003243CB"/>
    <w:rsid w:val="00324B01"/>
    <w:rsid w:val="00326F35"/>
    <w:rsid w:val="00327FB1"/>
    <w:rsid w:val="00331AE5"/>
    <w:rsid w:val="00335BD4"/>
    <w:rsid w:val="00336D75"/>
    <w:rsid w:val="003437E2"/>
    <w:rsid w:val="00344068"/>
    <w:rsid w:val="003467F0"/>
    <w:rsid w:val="00346BD1"/>
    <w:rsid w:val="003476DF"/>
    <w:rsid w:val="0035028A"/>
    <w:rsid w:val="003540CE"/>
    <w:rsid w:val="00365E66"/>
    <w:rsid w:val="00372CC4"/>
    <w:rsid w:val="003820C1"/>
    <w:rsid w:val="00382FEB"/>
    <w:rsid w:val="00394E9F"/>
    <w:rsid w:val="003A10D4"/>
    <w:rsid w:val="003A3B9D"/>
    <w:rsid w:val="003A6B12"/>
    <w:rsid w:val="003A7DCE"/>
    <w:rsid w:val="003C3FB1"/>
    <w:rsid w:val="003D099C"/>
    <w:rsid w:val="003D2211"/>
    <w:rsid w:val="003D2C71"/>
    <w:rsid w:val="003D3A47"/>
    <w:rsid w:val="003E495F"/>
    <w:rsid w:val="003E7268"/>
    <w:rsid w:val="003F30B2"/>
    <w:rsid w:val="003F6CFC"/>
    <w:rsid w:val="003F6E66"/>
    <w:rsid w:val="00401986"/>
    <w:rsid w:val="004032FB"/>
    <w:rsid w:val="00410980"/>
    <w:rsid w:val="004347F9"/>
    <w:rsid w:val="00435AF0"/>
    <w:rsid w:val="00437E95"/>
    <w:rsid w:val="00442686"/>
    <w:rsid w:val="004440D4"/>
    <w:rsid w:val="00450410"/>
    <w:rsid w:val="004563AF"/>
    <w:rsid w:val="004565AB"/>
    <w:rsid w:val="00456838"/>
    <w:rsid w:val="004579C6"/>
    <w:rsid w:val="0046409D"/>
    <w:rsid w:val="00464936"/>
    <w:rsid w:val="00471CEC"/>
    <w:rsid w:val="00475D1B"/>
    <w:rsid w:val="00481696"/>
    <w:rsid w:val="004825D2"/>
    <w:rsid w:val="00486EFE"/>
    <w:rsid w:val="00486FC1"/>
    <w:rsid w:val="004B5691"/>
    <w:rsid w:val="004C267F"/>
    <w:rsid w:val="004C4A83"/>
    <w:rsid w:val="004E2928"/>
    <w:rsid w:val="004E30D0"/>
    <w:rsid w:val="004E6232"/>
    <w:rsid w:val="004E786D"/>
    <w:rsid w:val="004F6C36"/>
    <w:rsid w:val="004F75D7"/>
    <w:rsid w:val="00500987"/>
    <w:rsid w:val="005156CB"/>
    <w:rsid w:val="00533DEE"/>
    <w:rsid w:val="00536853"/>
    <w:rsid w:val="00541ECB"/>
    <w:rsid w:val="00545DB5"/>
    <w:rsid w:val="00550791"/>
    <w:rsid w:val="0055346C"/>
    <w:rsid w:val="00560F0F"/>
    <w:rsid w:val="0056261C"/>
    <w:rsid w:val="00562FD9"/>
    <w:rsid w:val="005675EC"/>
    <w:rsid w:val="00570889"/>
    <w:rsid w:val="0058409F"/>
    <w:rsid w:val="00584B5B"/>
    <w:rsid w:val="00587757"/>
    <w:rsid w:val="00590F6B"/>
    <w:rsid w:val="0059149A"/>
    <w:rsid w:val="0059595A"/>
    <w:rsid w:val="005A199F"/>
    <w:rsid w:val="005B71FC"/>
    <w:rsid w:val="005B7D8C"/>
    <w:rsid w:val="005C1B6D"/>
    <w:rsid w:val="005D0964"/>
    <w:rsid w:val="005D1CC9"/>
    <w:rsid w:val="005D5FD5"/>
    <w:rsid w:val="005E0FB3"/>
    <w:rsid w:val="005E4544"/>
    <w:rsid w:val="005F08EC"/>
    <w:rsid w:val="005F21DE"/>
    <w:rsid w:val="005F2A3A"/>
    <w:rsid w:val="005F6013"/>
    <w:rsid w:val="00600678"/>
    <w:rsid w:val="006023B3"/>
    <w:rsid w:val="006119E0"/>
    <w:rsid w:val="00617BA3"/>
    <w:rsid w:val="00617CF7"/>
    <w:rsid w:val="006256AC"/>
    <w:rsid w:val="00632105"/>
    <w:rsid w:val="006362B3"/>
    <w:rsid w:val="00637E00"/>
    <w:rsid w:val="00640539"/>
    <w:rsid w:val="00645D43"/>
    <w:rsid w:val="00653753"/>
    <w:rsid w:val="00653A71"/>
    <w:rsid w:val="00657D32"/>
    <w:rsid w:val="00664CA4"/>
    <w:rsid w:val="00665153"/>
    <w:rsid w:val="00667173"/>
    <w:rsid w:val="006708D9"/>
    <w:rsid w:val="00670C7A"/>
    <w:rsid w:val="0068295B"/>
    <w:rsid w:val="00683A36"/>
    <w:rsid w:val="00685EAB"/>
    <w:rsid w:val="0069203C"/>
    <w:rsid w:val="00692ACE"/>
    <w:rsid w:val="00694D42"/>
    <w:rsid w:val="006A142B"/>
    <w:rsid w:val="006A3C0F"/>
    <w:rsid w:val="006B5E20"/>
    <w:rsid w:val="006C2895"/>
    <w:rsid w:val="006D1F11"/>
    <w:rsid w:val="006D5805"/>
    <w:rsid w:val="006D61C4"/>
    <w:rsid w:val="006D65C6"/>
    <w:rsid w:val="006D72B4"/>
    <w:rsid w:val="006D7CB5"/>
    <w:rsid w:val="006E2E6E"/>
    <w:rsid w:val="006E3C74"/>
    <w:rsid w:val="006E4830"/>
    <w:rsid w:val="007016A6"/>
    <w:rsid w:val="00704A89"/>
    <w:rsid w:val="00707C77"/>
    <w:rsid w:val="0071213D"/>
    <w:rsid w:val="00713052"/>
    <w:rsid w:val="00717454"/>
    <w:rsid w:val="00721ECA"/>
    <w:rsid w:val="0072605C"/>
    <w:rsid w:val="00726916"/>
    <w:rsid w:val="00741271"/>
    <w:rsid w:val="00745F0A"/>
    <w:rsid w:val="00747DBC"/>
    <w:rsid w:val="007648D0"/>
    <w:rsid w:val="0076510F"/>
    <w:rsid w:val="0076694F"/>
    <w:rsid w:val="00772C5F"/>
    <w:rsid w:val="00780B67"/>
    <w:rsid w:val="007915CB"/>
    <w:rsid w:val="00793AFF"/>
    <w:rsid w:val="00797E95"/>
    <w:rsid w:val="007B44CD"/>
    <w:rsid w:val="007B7BE1"/>
    <w:rsid w:val="007D22FA"/>
    <w:rsid w:val="007D3D32"/>
    <w:rsid w:val="007D4054"/>
    <w:rsid w:val="007D4C53"/>
    <w:rsid w:val="007E0FCB"/>
    <w:rsid w:val="007E3233"/>
    <w:rsid w:val="007E3E2A"/>
    <w:rsid w:val="007E4465"/>
    <w:rsid w:val="007E4D22"/>
    <w:rsid w:val="007F0C74"/>
    <w:rsid w:val="007F6B1D"/>
    <w:rsid w:val="007F723E"/>
    <w:rsid w:val="008018CA"/>
    <w:rsid w:val="008032D7"/>
    <w:rsid w:val="008067C1"/>
    <w:rsid w:val="00816A64"/>
    <w:rsid w:val="008205A2"/>
    <w:rsid w:val="008232F9"/>
    <w:rsid w:val="008241B9"/>
    <w:rsid w:val="00827A70"/>
    <w:rsid w:val="00832A80"/>
    <w:rsid w:val="00832E83"/>
    <w:rsid w:val="00833DD5"/>
    <w:rsid w:val="0084101A"/>
    <w:rsid w:val="00843307"/>
    <w:rsid w:val="00850C7B"/>
    <w:rsid w:val="00855656"/>
    <w:rsid w:val="00856E22"/>
    <w:rsid w:val="00860665"/>
    <w:rsid w:val="00873949"/>
    <w:rsid w:val="008A5A9C"/>
    <w:rsid w:val="008A7F02"/>
    <w:rsid w:val="008B368A"/>
    <w:rsid w:val="008B769D"/>
    <w:rsid w:val="008C3064"/>
    <w:rsid w:val="008C46F4"/>
    <w:rsid w:val="008D4BBA"/>
    <w:rsid w:val="008E3532"/>
    <w:rsid w:val="008E553D"/>
    <w:rsid w:val="008E6506"/>
    <w:rsid w:val="008F06AF"/>
    <w:rsid w:val="008F0738"/>
    <w:rsid w:val="008F37E9"/>
    <w:rsid w:val="008F576F"/>
    <w:rsid w:val="008F7393"/>
    <w:rsid w:val="008F7A79"/>
    <w:rsid w:val="009068E0"/>
    <w:rsid w:val="00906E7F"/>
    <w:rsid w:val="00911A1D"/>
    <w:rsid w:val="00912B5E"/>
    <w:rsid w:val="00914631"/>
    <w:rsid w:val="009217D1"/>
    <w:rsid w:val="00924648"/>
    <w:rsid w:val="00925BD5"/>
    <w:rsid w:val="00926CB2"/>
    <w:rsid w:val="009347C5"/>
    <w:rsid w:val="009349A3"/>
    <w:rsid w:val="0094045F"/>
    <w:rsid w:val="00940E11"/>
    <w:rsid w:val="009412B5"/>
    <w:rsid w:val="00942AA4"/>
    <w:rsid w:val="00945E3F"/>
    <w:rsid w:val="00951DE7"/>
    <w:rsid w:val="00955C04"/>
    <w:rsid w:val="00957514"/>
    <w:rsid w:val="00960CC7"/>
    <w:rsid w:val="00970382"/>
    <w:rsid w:val="00994BC6"/>
    <w:rsid w:val="00995DEB"/>
    <w:rsid w:val="009A2980"/>
    <w:rsid w:val="009B312E"/>
    <w:rsid w:val="009B39BD"/>
    <w:rsid w:val="009B424E"/>
    <w:rsid w:val="009B54DD"/>
    <w:rsid w:val="009B5CFA"/>
    <w:rsid w:val="009C457F"/>
    <w:rsid w:val="009C54FF"/>
    <w:rsid w:val="009C6319"/>
    <w:rsid w:val="009D056F"/>
    <w:rsid w:val="009D4C90"/>
    <w:rsid w:val="009E16A9"/>
    <w:rsid w:val="009E4543"/>
    <w:rsid w:val="009E5501"/>
    <w:rsid w:val="009E57B4"/>
    <w:rsid w:val="009F4B02"/>
    <w:rsid w:val="009F664F"/>
    <w:rsid w:val="00A01BF0"/>
    <w:rsid w:val="00A02BDC"/>
    <w:rsid w:val="00A064B3"/>
    <w:rsid w:val="00A10F28"/>
    <w:rsid w:val="00A126D2"/>
    <w:rsid w:val="00A146D1"/>
    <w:rsid w:val="00A20920"/>
    <w:rsid w:val="00A26B83"/>
    <w:rsid w:val="00A316ED"/>
    <w:rsid w:val="00A355F5"/>
    <w:rsid w:val="00A438C0"/>
    <w:rsid w:val="00A46186"/>
    <w:rsid w:val="00A525D9"/>
    <w:rsid w:val="00A5500A"/>
    <w:rsid w:val="00A61087"/>
    <w:rsid w:val="00A64922"/>
    <w:rsid w:val="00A7216A"/>
    <w:rsid w:val="00A73B58"/>
    <w:rsid w:val="00A77708"/>
    <w:rsid w:val="00A77B3E"/>
    <w:rsid w:val="00A804C2"/>
    <w:rsid w:val="00A81AB8"/>
    <w:rsid w:val="00A8264B"/>
    <w:rsid w:val="00A85188"/>
    <w:rsid w:val="00A859CD"/>
    <w:rsid w:val="00A917E5"/>
    <w:rsid w:val="00A94F21"/>
    <w:rsid w:val="00A95C18"/>
    <w:rsid w:val="00AA6233"/>
    <w:rsid w:val="00AA6907"/>
    <w:rsid w:val="00AA70E7"/>
    <w:rsid w:val="00AB00FB"/>
    <w:rsid w:val="00AB2448"/>
    <w:rsid w:val="00AB5D67"/>
    <w:rsid w:val="00AE23EF"/>
    <w:rsid w:val="00AE3213"/>
    <w:rsid w:val="00AE35F8"/>
    <w:rsid w:val="00AE384F"/>
    <w:rsid w:val="00AE6417"/>
    <w:rsid w:val="00AF0678"/>
    <w:rsid w:val="00AF70FC"/>
    <w:rsid w:val="00B0468B"/>
    <w:rsid w:val="00B06961"/>
    <w:rsid w:val="00B137D7"/>
    <w:rsid w:val="00B17B8A"/>
    <w:rsid w:val="00B2382B"/>
    <w:rsid w:val="00B2561F"/>
    <w:rsid w:val="00B35A66"/>
    <w:rsid w:val="00B376DF"/>
    <w:rsid w:val="00B43BD6"/>
    <w:rsid w:val="00B55ACA"/>
    <w:rsid w:val="00B561BD"/>
    <w:rsid w:val="00B563C2"/>
    <w:rsid w:val="00B56A75"/>
    <w:rsid w:val="00B6315A"/>
    <w:rsid w:val="00B70197"/>
    <w:rsid w:val="00B7407E"/>
    <w:rsid w:val="00B742EA"/>
    <w:rsid w:val="00B82306"/>
    <w:rsid w:val="00B83F45"/>
    <w:rsid w:val="00B844FC"/>
    <w:rsid w:val="00B87ED3"/>
    <w:rsid w:val="00B93447"/>
    <w:rsid w:val="00BA2B0A"/>
    <w:rsid w:val="00BA399F"/>
    <w:rsid w:val="00BA5E66"/>
    <w:rsid w:val="00BA6198"/>
    <w:rsid w:val="00BA79FF"/>
    <w:rsid w:val="00BC337E"/>
    <w:rsid w:val="00BC6398"/>
    <w:rsid w:val="00BD2BF6"/>
    <w:rsid w:val="00BD3825"/>
    <w:rsid w:val="00BD75B3"/>
    <w:rsid w:val="00BE38ED"/>
    <w:rsid w:val="00BE5809"/>
    <w:rsid w:val="00BF0A1C"/>
    <w:rsid w:val="00BF468C"/>
    <w:rsid w:val="00BF5718"/>
    <w:rsid w:val="00C160CE"/>
    <w:rsid w:val="00C23666"/>
    <w:rsid w:val="00C270D3"/>
    <w:rsid w:val="00C362B4"/>
    <w:rsid w:val="00C528E8"/>
    <w:rsid w:val="00C54942"/>
    <w:rsid w:val="00C55C5C"/>
    <w:rsid w:val="00C57B3B"/>
    <w:rsid w:val="00C62B14"/>
    <w:rsid w:val="00C674ED"/>
    <w:rsid w:val="00C723B3"/>
    <w:rsid w:val="00C80979"/>
    <w:rsid w:val="00C95625"/>
    <w:rsid w:val="00CA0286"/>
    <w:rsid w:val="00CA2A55"/>
    <w:rsid w:val="00CA2E55"/>
    <w:rsid w:val="00CA6BDA"/>
    <w:rsid w:val="00CB00F1"/>
    <w:rsid w:val="00CB056F"/>
    <w:rsid w:val="00CB15E9"/>
    <w:rsid w:val="00CC0C40"/>
    <w:rsid w:val="00CC0C7B"/>
    <w:rsid w:val="00CC40BD"/>
    <w:rsid w:val="00CD0623"/>
    <w:rsid w:val="00CD110D"/>
    <w:rsid w:val="00CD4033"/>
    <w:rsid w:val="00CE1A6B"/>
    <w:rsid w:val="00CE7AC9"/>
    <w:rsid w:val="00CF0DA0"/>
    <w:rsid w:val="00CF60FD"/>
    <w:rsid w:val="00CF7791"/>
    <w:rsid w:val="00D000AB"/>
    <w:rsid w:val="00D00857"/>
    <w:rsid w:val="00D013FE"/>
    <w:rsid w:val="00D11DA6"/>
    <w:rsid w:val="00D14F5B"/>
    <w:rsid w:val="00D16925"/>
    <w:rsid w:val="00D16954"/>
    <w:rsid w:val="00D23591"/>
    <w:rsid w:val="00D25FCE"/>
    <w:rsid w:val="00D312FC"/>
    <w:rsid w:val="00D41F69"/>
    <w:rsid w:val="00D428FB"/>
    <w:rsid w:val="00D43399"/>
    <w:rsid w:val="00D43668"/>
    <w:rsid w:val="00D50153"/>
    <w:rsid w:val="00D632DA"/>
    <w:rsid w:val="00D66558"/>
    <w:rsid w:val="00D7099B"/>
    <w:rsid w:val="00D72546"/>
    <w:rsid w:val="00D72A58"/>
    <w:rsid w:val="00D73C05"/>
    <w:rsid w:val="00D82BC0"/>
    <w:rsid w:val="00D85172"/>
    <w:rsid w:val="00D90E1B"/>
    <w:rsid w:val="00D929C1"/>
    <w:rsid w:val="00DA32A2"/>
    <w:rsid w:val="00DA3BA0"/>
    <w:rsid w:val="00DA54FD"/>
    <w:rsid w:val="00DB2A78"/>
    <w:rsid w:val="00DB366F"/>
    <w:rsid w:val="00DB3A2D"/>
    <w:rsid w:val="00DB6E48"/>
    <w:rsid w:val="00DB7812"/>
    <w:rsid w:val="00DC04A1"/>
    <w:rsid w:val="00DC3916"/>
    <w:rsid w:val="00DD3653"/>
    <w:rsid w:val="00DE337A"/>
    <w:rsid w:val="00DE417F"/>
    <w:rsid w:val="00E01BD6"/>
    <w:rsid w:val="00E067EF"/>
    <w:rsid w:val="00E14082"/>
    <w:rsid w:val="00E229D6"/>
    <w:rsid w:val="00E262AF"/>
    <w:rsid w:val="00E31408"/>
    <w:rsid w:val="00E343FB"/>
    <w:rsid w:val="00E34C74"/>
    <w:rsid w:val="00E35091"/>
    <w:rsid w:val="00E36210"/>
    <w:rsid w:val="00E418F1"/>
    <w:rsid w:val="00E42534"/>
    <w:rsid w:val="00E54274"/>
    <w:rsid w:val="00E57392"/>
    <w:rsid w:val="00E6786B"/>
    <w:rsid w:val="00E71014"/>
    <w:rsid w:val="00E91C8A"/>
    <w:rsid w:val="00E9280D"/>
    <w:rsid w:val="00E95328"/>
    <w:rsid w:val="00E95F45"/>
    <w:rsid w:val="00E96A23"/>
    <w:rsid w:val="00E96A5E"/>
    <w:rsid w:val="00EA0D17"/>
    <w:rsid w:val="00EA6100"/>
    <w:rsid w:val="00EA6552"/>
    <w:rsid w:val="00EA73B1"/>
    <w:rsid w:val="00EB5289"/>
    <w:rsid w:val="00EB7453"/>
    <w:rsid w:val="00EC3519"/>
    <w:rsid w:val="00ED2CE4"/>
    <w:rsid w:val="00EF12DD"/>
    <w:rsid w:val="00F005DA"/>
    <w:rsid w:val="00F03F18"/>
    <w:rsid w:val="00F11FC4"/>
    <w:rsid w:val="00F2640D"/>
    <w:rsid w:val="00F2744A"/>
    <w:rsid w:val="00F33C37"/>
    <w:rsid w:val="00F460ED"/>
    <w:rsid w:val="00F476C7"/>
    <w:rsid w:val="00F47D81"/>
    <w:rsid w:val="00F625DE"/>
    <w:rsid w:val="00F64DFF"/>
    <w:rsid w:val="00F65253"/>
    <w:rsid w:val="00F67868"/>
    <w:rsid w:val="00F71AC5"/>
    <w:rsid w:val="00F85E39"/>
    <w:rsid w:val="00F932AF"/>
    <w:rsid w:val="00F939A2"/>
    <w:rsid w:val="00F962F4"/>
    <w:rsid w:val="00F97725"/>
    <w:rsid w:val="00FA4269"/>
    <w:rsid w:val="00FB1910"/>
    <w:rsid w:val="00FB4357"/>
    <w:rsid w:val="00FC1F45"/>
    <w:rsid w:val="00FD19BD"/>
    <w:rsid w:val="00FD2448"/>
    <w:rsid w:val="00FD47B1"/>
    <w:rsid w:val="00FE1145"/>
    <w:rsid w:val="00FE4B92"/>
    <w:rsid w:val="00FE61E7"/>
    <w:rsid w:val="00FE65DD"/>
    <w:rsid w:val="00FF0A4A"/>
    <w:rsid w:val="00FF1AE9"/>
    <w:rsid w:val="00FF3D05"/>
    <w:rsid w:val="00FF3DF9"/>
    <w:rsid w:val="00FF510C"/>
    <w:rsid w:val="03C54999"/>
    <w:rsid w:val="253244AA"/>
    <w:rsid w:val="35EF6C37"/>
    <w:rsid w:val="38972202"/>
    <w:rsid w:val="42754754"/>
    <w:rsid w:val="6BC23BA3"/>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D2EF2"/>
  <w15:docId w15:val="{4980AD54-0520-435F-948D-C3713E06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line="360" w:lineRule="auto"/>
    </w:pPr>
    <w:rPr>
      <w:rFonts w:ascii="宋体" w:hAnsi="宋体" w:cs="宋体"/>
      <w:b/>
      <w:sz w:val="21"/>
    </w:rPr>
  </w:style>
  <w:style w:type="paragraph" w:styleId="ab">
    <w:name w:val="annotation subject"/>
    <w:basedOn w:val="a3"/>
    <w:next w:val="a3"/>
    <w:link w:val="ac"/>
    <w:qFormat/>
    <w:rPr>
      <w:b/>
      <w:bCs/>
    </w:rPr>
  </w:style>
  <w:style w:type="character" w:styleId="ad">
    <w:name w:val="Hyperlink"/>
    <w:qFormat/>
    <w:rPr>
      <w:color w:val="0000FF"/>
      <w:u w:val="single"/>
    </w:rPr>
  </w:style>
  <w:style w:type="character" w:styleId="ae">
    <w:name w:val="annotation reference"/>
    <w:qFormat/>
    <w:rPr>
      <w:sz w:val="21"/>
      <w:szCs w:val="21"/>
    </w:rPr>
  </w:style>
  <w:style w:type="table" w:customStyle="1" w:styleId="MsoTableGrid0">
    <w:name w:val="MsoTableGrid"/>
    <w:basedOn w:val="a1"/>
    <w:qFormat/>
    <w:tblPr/>
  </w:style>
  <w:style w:type="character" w:customStyle="1" w:styleId="aa">
    <w:name w:val="页眉 字符"/>
    <w:link w:val="a9"/>
    <w:qFormat/>
    <w:rPr>
      <w:sz w:val="18"/>
      <w:szCs w:val="18"/>
    </w:rPr>
  </w:style>
  <w:style w:type="character" w:customStyle="1" w:styleId="a8">
    <w:name w:val="页脚 字符"/>
    <w:link w:val="a7"/>
    <w:qFormat/>
    <w:rPr>
      <w:sz w:val="18"/>
      <w:szCs w:val="18"/>
    </w:rPr>
  </w:style>
  <w:style w:type="character" w:customStyle="1" w:styleId="a6">
    <w:name w:val="批注框文本 字符"/>
    <w:link w:val="a5"/>
    <w:qFormat/>
    <w:rPr>
      <w:sz w:val="18"/>
      <w:szCs w:val="18"/>
    </w:rPr>
  </w:style>
  <w:style w:type="character" w:customStyle="1" w:styleId="a4">
    <w:name w:val="批注文字 字符"/>
    <w:link w:val="a3"/>
    <w:qFormat/>
    <w:rPr>
      <w:sz w:val="24"/>
      <w:szCs w:val="24"/>
    </w:rPr>
  </w:style>
  <w:style w:type="character" w:customStyle="1" w:styleId="ac">
    <w:name w:val="批注主题 字符"/>
    <w:link w:val="ab"/>
    <w:qFormat/>
    <w:rPr>
      <w:b/>
      <w:bCs/>
      <w:sz w:val="24"/>
      <w:szCs w:val="24"/>
    </w:rPr>
  </w:style>
  <w:style w:type="paragraph" w:customStyle="1" w:styleId="10">
    <w:name w:val="修订1"/>
    <w:hidden/>
    <w:uiPriority w:val="99"/>
    <w:semiHidden/>
    <w:qFormat/>
    <w:rPr>
      <w:sz w:val="24"/>
      <w:szCs w:val="24"/>
    </w:rPr>
  </w:style>
  <w:style w:type="character" w:customStyle="1" w:styleId="Char">
    <w:name w:val="批注文字 Char"/>
    <w:qFormat/>
    <w:rPr>
      <w:kern w:val="2"/>
      <w:sz w:val="21"/>
    </w:rPr>
  </w:style>
  <w:style w:type="character" w:customStyle="1" w:styleId="Char1">
    <w:name w:val="批注文字 Char1"/>
    <w:qFormat/>
    <w:rPr>
      <w:sz w:val="21"/>
    </w:rPr>
  </w:style>
  <w:style w:type="character" w:customStyle="1" w:styleId="40">
    <w:name w:val="标题 4 字符"/>
    <w:basedOn w:val="a0"/>
    <w:link w:val="4"/>
    <w:semiHidden/>
    <w:rPr>
      <w:rFonts w:asciiTheme="majorHAnsi" w:eastAsiaTheme="majorEastAsia" w:hAnsiTheme="majorHAnsi" w:cstheme="majorBidi"/>
      <w:b/>
      <w:bCs/>
      <w:sz w:val="28"/>
      <w:szCs w:val="28"/>
    </w:rPr>
  </w:style>
  <w:style w:type="character" w:customStyle="1" w:styleId="50">
    <w:name w:val="标题 5 字符"/>
    <w:basedOn w:val="a0"/>
    <w:link w:val="5"/>
    <w:semiHidden/>
    <w:rPr>
      <w:b/>
      <w:bCs/>
      <w:sz w:val="28"/>
      <w:szCs w:val="28"/>
    </w:rPr>
  </w:style>
  <w:style w:type="paragraph" w:customStyle="1" w:styleId="2">
    <w:name w:val="修订2"/>
    <w:hidden/>
    <w:uiPriority w:val="99"/>
    <w:semiHidden/>
    <w:rPr>
      <w:sz w:val="24"/>
      <w:szCs w:val="24"/>
    </w:rPr>
  </w:style>
  <w:style w:type="paragraph" w:styleId="af">
    <w:name w:val="List Paragraph"/>
    <w:basedOn w:val="a"/>
    <w:uiPriority w:val="99"/>
    <w:rsid w:val="00B561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AAD7B-E4EA-4578-B1BA-F964662FD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90</Pages>
  <Words>36050</Words>
  <Characters>36412</Characters>
  <Application>Microsoft Office Word</Application>
  <DocSecurity>0</DocSecurity>
  <Lines>1348</Lines>
  <Paragraphs>1367</Paragraphs>
  <ScaleCrop>false</ScaleCrop>
  <Company>神州网信技术有限公司</Company>
  <LinksUpToDate>false</LinksUpToDate>
  <CharactersWithSpaces>71095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张玮</cp:lastModifiedBy>
  <cp:revision>155</cp:revision>
  <cp:lastPrinted>2026-01-09T08:23:00Z</cp:lastPrinted>
  <dcterms:created xsi:type="dcterms:W3CDTF">2023-12-15T08:59:00Z</dcterms:created>
  <dcterms:modified xsi:type="dcterms:W3CDTF">2026-01-09T08:24:00Z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19467E2D7BCA4C3DB97B8BDC3682B6E4_12</vt:lpwstr>
  </property>
</Properties>
</file>